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media/image3.png" ContentType="image/png"/>
  <Override PartName="/word/media/image1.jpeg" ContentType="image/jpeg"/>
  <Override PartName="/word/media/image2.png" ContentType="image/png"/>
  <Override PartName="/word/media/image4.png" ContentType="image/png"/>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59" w:before="0" w:after="855"/>
        <w:ind w:hanging="0" w:start="92" w:end="0"/>
        <w:jc w:val="start"/>
        <w:rPr/>
      </w:pPr>
      <w:r>
        <w:rPr/>
        <w:drawing>
          <wp:inline distT="0" distB="0" distL="0" distR="0">
            <wp:extent cx="6250940" cy="455930"/>
            <wp:effectExtent l="0" t="0" r="0" b="0"/>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2"/>
                    <pic:cNvPicPr>
                      <a:picLocks noChangeAspect="1" noChangeArrowheads="1"/>
                    </pic:cNvPicPr>
                  </pic:nvPicPr>
                  <pic:blipFill>
                    <a:blip r:embed="rId2"/>
                    <a:stretch>
                      <a:fillRect/>
                    </a:stretch>
                  </pic:blipFill>
                  <pic:spPr bwMode="auto">
                    <a:xfrm>
                      <a:off x="0" y="0"/>
                      <a:ext cx="6250940" cy="455930"/>
                    </a:xfrm>
                    <a:prstGeom prst="rect">
                      <a:avLst/>
                    </a:prstGeom>
                    <a:noFill/>
                  </pic:spPr>
                </pic:pic>
              </a:graphicData>
            </a:graphic>
          </wp:inline>
        </w:drawing>
      </w:r>
    </w:p>
    <w:p>
      <w:pPr>
        <w:pStyle w:val="Normal"/>
        <w:bidi w:val="0"/>
        <w:spacing w:lineRule="auto" w:line="259" w:before="0" w:after="0"/>
        <w:ind w:hanging="0" w:start="0" w:end="0"/>
        <w:jc w:val="start"/>
        <w:rPr>
          <w:color w:themeColor="light1" w:val="FFFFFF"/>
        </w:rPr>
      </w:pPr>
      <w:r>
        <w:rPr>
          <w:rFonts w:eastAsia="Calibri" w:cs="Calibri" w:ascii="Calibri" w:hAnsi="Calibri"/>
          <w:b/>
          <w:color w:themeColor="light1" w:val="FFFFFF"/>
          <w:sz w:val="44"/>
        </w:rPr>
        <w:t>AL</w:t>
      </w:r>
      <w:r>
        <w:rPr>
          <w:rFonts w:eastAsia="Calibri" w:cs="Calibri" w:ascii="Calibri" w:hAnsi="Calibri"/>
          <w:b/>
          <w:color w:themeColor="light1" w:val="FFFFFF"/>
          <w:sz w:val="44"/>
        </w:rPr>
        <w:drawing>
          <wp:inline distT="0" distB="0" distL="0" distR="0">
            <wp:extent cx="6116320" cy="4229100"/>
            <wp:effectExtent l="0" t="0" r="0" b="0"/>
            <wp:docPr id="2" name="Copia image1.p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ia image1.png 1"/>
                    <pic:cNvPicPr>
                      <a:picLocks noChangeAspect="1" noChangeArrowheads="1"/>
                    </pic:cNvPicPr>
                  </pic:nvPicPr>
                  <pic:blipFill>
                    <a:blip r:embed="rId3"/>
                    <a:stretch>
                      <a:fillRect/>
                    </a:stretch>
                  </pic:blipFill>
                  <pic:spPr bwMode="auto">
                    <a:xfrm>
                      <a:off x="0" y="0"/>
                      <a:ext cx="6116320" cy="4229100"/>
                    </a:xfrm>
                    <a:prstGeom prst="rect">
                      <a:avLst/>
                    </a:prstGeom>
                    <a:noFill/>
                  </pic:spPr>
                </pic:pic>
              </a:graphicData>
            </a:graphic>
          </wp:inline>
        </w:drawing>
      </w:r>
      <w:r>
        <w:rPr>
          <w:rFonts w:eastAsia="Calibri" w:cs="Calibri" w:ascii="Calibri" w:hAnsi="Calibri"/>
          <w:b/>
          <w:color w:themeColor="light1" w:val="FFFFFF"/>
          <w:sz w:val="44"/>
        </w:rPr>
        <w:t>LEGATO</w:t>
      </w:r>
    </w:p>
    <w:p>
      <w:pPr>
        <w:pStyle w:val="Normal"/>
        <w:bidi w:val="0"/>
        <w:spacing w:lineRule="auto" w:line="259" w:before="0" w:after="203"/>
        <w:ind w:hanging="0" w:start="0" w:end="41"/>
        <w:jc w:val="center"/>
        <w:rPr>
          <w:rFonts w:ascii="Times New Roman" w:hAnsi="Times New Roman" w:eastAsia="Times New Roman" w:cs="Times New Roman"/>
          <w:i/>
          <w:i/>
          <w:color w:val="FFFFFF"/>
          <w:sz w:val="32"/>
        </w:rPr>
      </w:pPr>
      <w:r>
        <w:rPr>
          <w:rFonts w:eastAsia="Times New Roman" w:cs="Times New Roman" w:ascii="Times New Roman" w:hAnsi="Times New Roman"/>
          <w:i/>
          <w:color w:val="FFFFFF"/>
          <w:sz w:val="32"/>
        </w:rPr>
      </w:r>
    </w:p>
    <w:p>
      <w:pPr>
        <w:pStyle w:val="Normal"/>
        <w:bidi w:val="0"/>
        <w:spacing w:lineRule="auto" w:line="259" w:before="0" w:after="203"/>
        <w:ind w:hanging="0" w:start="0" w:end="41"/>
        <w:jc w:val="center"/>
        <w:rPr/>
      </w:pPr>
      <w:r>
        <w:rPr>
          <w:b/>
          <w:sz w:val="40"/>
        </w:rPr>
        <w:t>ALLEGATO 1</w:t>
      </w:r>
      <w:r>
        <w:rPr>
          <w:b/>
          <w:sz w:val="40"/>
        </w:rPr>
        <w:t>2</w:t>
      </w:r>
    </w:p>
    <w:p>
      <w:pPr>
        <w:pStyle w:val="Normal"/>
        <w:bidi w:val="0"/>
        <w:spacing w:lineRule="auto" w:line="240" w:before="0" w:after="529"/>
        <w:ind w:hanging="510" w:start="1526" w:end="0"/>
        <w:jc w:val="start"/>
        <w:rPr>
          <w:b/>
          <w:sz w:val="36"/>
        </w:rPr>
      </w:pPr>
      <w:r>
        <w:rPr>
          <w:b/>
          <w:sz w:val="36"/>
        </w:rPr>
        <w:t>Sintesi della resa a prova di clima del progetto e dichiarazione di immunizzazione climatica</w:t>
      </w:r>
    </w:p>
    <w:p>
      <w:pPr>
        <w:pStyle w:val="Normal"/>
        <w:bidi w:val="0"/>
        <w:spacing w:lineRule="auto" w:line="259" w:before="0" w:after="0"/>
        <w:ind w:hanging="0" w:start="566" w:end="0"/>
        <w:jc w:val="start"/>
        <w:rPr/>
      </w:pPr>
      <w:r>
        <w:rPr/>
        <w:t xml:space="preserve">                                                                                                                                                          </w:t>
      </w:r>
    </w:p>
    <w:p>
      <w:pPr>
        <w:pStyle w:val="Normal"/>
        <w:bidi w:val="0"/>
        <w:spacing w:lineRule="auto" w:line="259" w:before="0" w:after="0"/>
        <w:ind w:hanging="0" w:start="566" w:end="0"/>
        <w:jc w:val="start"/>
        <w:rPr/>
      </w:pPr>
      <w:r>
        <w:rPr/>
      </w:r>
    </w:p>
    <w:p>
      <w:pPr>
        <w:pStyle w:val="Normal"/>
        <w:bidi w:val="0"/>
        <w:spacing w:lineRule="auto" w:line="259" w:before="0" w:after="0"/>
        <w:ind w:hanging="0" w:start="566" w:end="0"/>
        <w:jc w:val="start"/>
        <w:rPr/>
      </w:pPr>
      <w:r>
        <w:rPr/>
      </w:r>
    </w:p>
    <w:p>
      <w:pPr>
        <w:pStyle w:val="Normal"/>
        <w:bidi w:val="0"/>
        <w:spacing w:lineRule="auto" w:line="259" w:before="0" w:after="0"/>
        <w:ind w:hanging="0" w:start="566" w:end="0"/>
        <w:jc w:val="start"/>
        <w:rPr/>
      </w:pPr>
      <w:r>
        <w:rPr/>
        <w:drawing>
          <wp:anchor behindDoc="0" distT="0" distB="0" distL="114300" distR="114300" simplePos="0" locked="0" layoutInCell="0" allowOverlap="1" relativeHeight="4">
            <wp:simplePos x="0" y="0"/>
            <wp:positionH relativeFrom="column">
              <wp:posOffset>-561340</wp:posOffset>
            </wp:positionH>
            <wp:positionV relativeFrom="paragraph">
              <wp:posOffset>43815</wp:posOffset>
            </wp:positionV>
            <wp:extent cx="7559675" cy="99695"/>
            <wp:effectExtent l="0" t="0" r="0" b="0"/>
            <wp:wrapSquare wrapText="bothSides"/>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png"/>
                    <pic:cNvPicPr>
                      <a:picLocks noChangeAspect="1" noChangeArrowheads="1"/>
                    </pic:cNvPicPr>
                  </pic:nvPicPr>
                  <pic:blipFill>
                    <a:blip r:embed="rId4"/>
                    <a:stretch>
                      <a:fillRect/>
                    </a:stretch>
                  </pic:blipFill>
                  <pic:spPr bwMode="auto">
                    <a:xfrm>
                      <a:off x="0" y="0"/>
                      <a:ext cx="7559675" cy="99695"/>
                    </a:xfrm>
                    <a:prstGeom prst="rect">
                      <a:avLst/>
                    </a:prstGeom>
                    <a:noFill/>
                  </pic:spPr>
                </pic:pic>
              </a:graphicData>
            </a:graphic>
          </wp:anchor>
        </w:drawing>
      </w:r>
    </w:p>
    <w:p>
      <w:pPr>
        <w:pStyle w:val="Normal"/>
        <w:bidi w:val="0"/>
        <w:spacing w:lineRule="auto" w:line="259" w:before="0" w:after="0"/>
        <w:ind w:hanging="0" w:start="566" w:end="0"/>
        <w:jc w:val="start"/>
        <w:rPr/>
      </w:pPr>
      <w:r>
        <w:rPr/>
        <w:drawing>
          <wp:anchor behindDoc="0" distT="0" distB="0" distL="0" distR="0" simplePos="0" locked="0" layoutInCell="0" allowOverlap="1" relativeHeight="5">
            <wp:simplePos x="0" y="0"/>
            <wp:positionH relativeFrom="column">
              <wp:posOffset>4927600</wp:posOffset>
            </wp:positionH>
            <wp:positionV relativeFrom="paragraph">
              <wp:posOffset>54610</wp:posOffset>
            </wp:positionV>
            <wp:extent cx="1552575" cy="971550"/>
            <wp:effectExtent l="0" t="0" r="0" b="0"/>
            <wp:wrapSquare wrapText="bothSides"/>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a:picLocks noChangeAspect="1" noChangeArrowheads="1"/>
                    </pic:cNvPicPr>
                  </pic:nvPicPr>
                  <pic:blipFill>
                    <a:blip r:embed="rId5"/>
                    <a:stretch>
                      <a:fillRect/>
                    </a:stretch>
                  </pic:blipFill>
                  <pic:spPr bwMode="auto">
                    <a:xfrm>
                      <a:off x="0" y="0"/>
                      <a:ext cx="1552575" cy="971550"/>
                    </a:xfrm>
                    <a:prstGeom prst="rect">
                      <a:avLst/>
                    </a:prstGeom>
                    <a:noFill/>
                  </pic:spPr>
                </pic:pic>
              </a:graphicData>
            </a:graphic>
          </wp:anchor>
        </w:drawing>
      </w:r>
    </w:p>
    <w:p>
      <w:pPr>
        <w:pStyle w:val="Normal"/>
        <w:bidi w:val="0"/>
        <w:spacing w:lineRule="auto" w:line="278" w:before="0" w:after="160"/>
        <w:ind w:hanging="0" w:start="0" w:end="0"/>
        <w:jc w:val="start"/>
        <w:rPr/>
      </w:pPr>
      <w:r>
        <w:rPr/>
      </w:r>
    </w:p>
    <w:p>
      <w:pPr>
        <w:pStyle w:val="Normal"/>
        <w:bidi w:val="0"/>
        <w:spacing w:lineRule="auto" w:line="278" w:before="0" w:after="160"/>
        <w:ind w:hanging="0" w:start="0" w:end="0"/>
        <w:jc w:val="start"/>
        <w:rPr/>
      </w:pPr>
      <w:r>
        <w:rPr/>
      </w:r>
    </w:p>
    <w:p>
      <w:pPr>
        <w:pStyle w:val="Normal"/>
        <w:bidi w:val="0"/>
        <w:spacing w:lineRule="auto" w:line="278" w:before="0" w:after="160"/>
        <w:ind w:hanging="0" w:start="0" w:end="0"/>
        <w:jc w:val="start"/>
        <w:rPr/>
      </w:pPr>
      <w:r>
        <w:rPr/>
        <w:t xml:space="preserve">     </w:t>
      </w:r>
    </w:p>
    <w:p>
      <w:pPr>
        <w:pStyle w:val="Normal"/>
        <w:bidi w:val="0"/>
        <w:spacing w:lineRule="auto" w:line="278" w:before="0" w:after="160"/>
        <w:ind w:hanging="0" w:start="0" w:end="0"/>
        <w:jc w:val="start"/>
        <w:rPr/>
      </w:pPr>
      <w:r>
        <w:rPr>
          <w:b/>
        </w:rPr>
        <w:t xml:space="preserve">    </w:t>
      </w:r>
      <w:r>
        <w:rPr>
          <w:b/>
        </w:rPr>
        <w:t>Premessa</w:t>
      </w:r>
    </w:p>
    <w:p>
      <w:pPr>
        <w:pStyle w:val="Normal"/>
        <w:bidi w:val="0"/>
        <w:ind w:hanging="10" w:start="247" w:end="426"/>
        <w:jc w:val="start"/>
        <w:rPr/>
      </w:pPr>
      <w:r>
        <w:rPr/>
        <w:t>Il Regolamento sulle Disposizioni Comuni (Regolamento (UE) 2021/1060 del Parlamento Europeo e del Consiglio del 24 giugno 2021 - RDC) definisce all’art. 2, paragrafo 42, l’immunizzazione dagli effetti del clima come “un processo volto a evitare che le infrastrutture siano vulnerabili ai potenziali impatti climatici a lungo termine, garantendo nel contempo che sia rispettato il principio dell’efficienza energetica al primo posto e che il livello delle emissioni di gas a effetto serra derivanti dal progetto sia coerente con l’obiettivo della neutralità climatica per il 2050”.</w:t>
      </w:r>
    </w:p>
    <w:p>
      <w:pPr>
        <w:pStyle w:val="Normal"/>
        <w:bidi w:val="0"/>
        <w:ind w:hanging="10" w:start="247" w:end="426"/>
        <w:jc w:val="start"/>
        <w:rPr/>
      </w:pPr>
      <w:r>
        <w:rPr/>
        <w:t>La metodologia raccomandata per effettuare la verifica climatica degli investimenti infrastrutturali nel periodo 2021-2027 è descritta nella Comunicazione della Commissione europea “Orientamenti tecnici per infrastrutture a prova di clima nel periodo 2021-2027” (2021/C 373/01), pubblicata a settembre 2021. Per facilitare il rispetto di questo importante requisito da parte delle Autorità di Gestione italiane, il Dipartimento per le Politiche di Coesione della Presidenza del Consiglio dei Ministri ha adottato in data 6 ottobre 2023 il documento “</w:t>
      </w:r>
      <w:r>
        <w:rPr>
          <w:i/>
        </w:rPr>
        <w:t>Indirizzi per la verifica climatica dei progetti infrastrutturali finanziati dalla politica di coesione 2021-2027</w:t>
      </w:r>
      <w:r>
        <w:rPr/>
        <w:t>”.</w:t>
      </w:r>
    </w:p>
    <w:p>
      <w:pPr>
        <w:pStyle w:val="Normal"/>
        <w:bidi w:val="0"/>
        <w:spacing w:before="0" w:after="340"/>
        <w:ind w:hanging="10" w:start="247" w:end="426"/>
        <w:jc w:val="start"/>
        <w:rPr/>
      </w:pPr>
      <w:r>
        <w:rPr/>
        <w:t xml:space="preserve">Tale documento delimita l’Ambito di applicazione della verifica climatica per settore di intervento del FESR. In particolare, per il </w:t>
      </w:r>
      <w:r>
        <w:rPr>
          <w:i/>
        </w:rPr>
        <w:t xml:space="preserve">Settore 077 Misure per la qualità dell'aria e la riduzione del rumore </w:t>
      </w:r>
      <w:r>
        <w:rPr/>
        <w:t xml:space="preserve">la verifica non è richiesta, mentre per il </w:t>
      </w:r>
      <w:r>
        <w:rPr>
          <w:i/>
        </w:rPr>
        <w:t xml:space="preserve">Settore 083 Infrastrutture ciclistiche </w:t>
      </w:r>
      <w:r>
        <w:rPr/>
        <w:t>la verifica climatica è sempre prevista. In entrambi i casi è richiesta la sola valutazione relativa all’adattamento ai cambiamenti climatici.</w:t>
      </w:r>
    </w:p>
    <w:p>
      <w:pPr>
        <w:pStyle w:val="Normal"/>
        <w:bidi w:val="0"/>
        <w:spacing w:before="0" w:after="24"/>
        <w:ind w:hanging="10" w:start="247" w:end="0"/>
        <w:jc w:val="start"/>
        <w:rPr>
          <w:b/>
        </w:rPr>
      </w:pPr>
      <w:r>
        <w:rPr>
          <w:b/>
        </w:rPr>
        <w:t>La verifica dell’immunizzazione climatica</w:t>
      </w:r>
    </w:p>
    <w:p>
      <w:pPr>
        <w:pStyle w:val="Normal"/>
        <w:bidi w:val="0"/>
        <w:spacing w:before="0" w:after="24"/>
        <w:ind w:hanging="10" w:start="247" w:end="0"/>
        <w:jc w:val="start"/>
        <w:rPr>
          <w:b/>
        </w:rPr>
      </w:pPr>
      <w:r>
        <w:rPr>
          <w:b/>
        </w:rPr>
        <w:t xml:space="preserve">  </w:t>
      </w:r>
    </w:p>
    <w:p>
      <w:pPr>
        <w:pStyle w:val="Normal"/>
        <w:bidi w:val="0"/>
        <w:spacing w:before="0" w:after="24"/>
        <w:ind w:hanging="10" w:start="247" w:end="0"/>
        <w:jc w:val="start"/>
        <w:rPr>
          <w:u w:val="single"/>
        </w:rPr>
      </w:pPr>
      <w:r>
        <w:rPr>
          <w:u w:val="single"/>
        </w:rPr>
        <w:t xml:space="preserve">Mitigazione dei cambiamenti climatici </w:t>
      </w:r>
    </w:p>
    <w:p>
      <w:pPr>
        <w:pStyle w:val="Normal"/>
        <w:bidi w:val="0"/>
        <w:spacing w:before="0" w:after="24"/>
        <w:ind w:hanging="10" w:start="247" w:end="0"/>
        <w:jc w:val="start"/>
        <w:rPr>
          <w:u w:val="single"/>
        </w:rPr>
      </w:pPr>
      <w:r>
        <w:rPr>
          <w:u w:val="single"/>
        </w:rPr>
      </w:r>
    </w:p>
    <w:p>
      <w:pPr>
        <w:pStyle w:val="Normal"/>
        <w:bidi w:val="0"/>
        <w:spacing w:before="0" w:after="286"/>
        <w:ind w:hanging="10" w:start="247" w:end="426"/>
        <w:jc w:val="start"/>
        <w:rPr/>
      </w:pPr>
      <w:r>
        <w:rPr/>
        <w:t>In applicazione di quanto definito dal documento “</w:t>
      </w:r>
      <w:r>
        <w:rPr>
          <w:i/>
        </w:rPr>
        <w:t>Indirizzi per la verifica climatica dei progetti infrastrutturali finanziati dalla politica di coesione 2021-2027</w:t>
      </w:r>
      <w:r>
        <w:rPr/>
        <w:t xml:space="preserve">” del Dipartimento per le Politiche di Coesione della Presidenza del Consiglio dei Ministri adottato il 6 ottobre 2023, questo aspetto della verifica dell’immunizzazione climatica non deve essere attivato per gli interventi relativi a infrastrutture verdi e blu e per le infrastrutture ciclistiche. </w:t>
      </w:r>
    </w:p>
    <w:p>
      <w:pPr>
        <w:pStyle w:val="Normal"/>
        <w:bidi w:val="0"/>
        <w:spacing w:before="0" w:after="286"/>
        <w:ind w:hanging="10" w:start="247" w:end="426"/>
        <w:jc w:val="start"/>
        <w:rPr>
          <w:u w:val="single"/>
        </w:rPr>
      </w:pPr>
      <w:r>
        <w:rPr>
          <w:u w:val="single"/>
        </w:rPr>
        <w:t xml:space="preserve">Adattamento ai cambiamenti climatici </w:t>
      </w:r>
    </w:p>
    <w:p>
      <w:pPr>
        <w:pStyle w:val="Normal"/>
        <w:bidi w:val="0"/>
        <w:spacing w:before="0" w:after="286"/>
        <w:ind w:hanging="10" w:start="247" w:end="426"/>
        <w:jc w:val="start"/>
        <w:rPr/>
      </w:pPr>
      <w:r>
        <w:rPr/>
        <w:t>In coerenza con la Comunicazione (2021/C 373/01) e gli Indirizzi del Dipartimento per le Politiche di Coesione della Presidenza del Consiglio dei Ministri (6 ottobre 2023) si specifica che la valutazione delle vulnerabilità e dei rischi connessi ai cambiamenti climatici è volta a individuare, valutare e attuare le misure di adattamento in relazione al sito e all’opera/infrastruttura da realizzare.</w:t>
      </w:r>
    </w:p>
    <w:p>
      <w:pPr>
        <w:pStyle w:val="Normal"/>
        <w:bidi w:val="0"/>
        <w:spacing w:before="0" w:after="286"/>
        <w:ind w:hanging="10" w:start="247" w:end="426"/>
        <w:jc w:val="start"/>
        <w:rPr/>
      </w:pPr>
      <w:r>
        <w:rPr/>
        <w:t>Se la valutazione individua la presenza di rischi climatici significativi, quale è il caso della quasi totalità degli interventi che prevedono l’impiego di opere a verde, occorre effettuare le necessarie analisi, che danno luogo a una dichiarazione di screening della resilienza climatica.</w:t>
      </w:r>
    </w:p>
    <w:p>
      <w:pPr>
        <w:pStyle w:val="Normal"/>
        <w:bidi w:val="0"/>
        <w:spacing w:before="0" w:after="286"/>
        <w:ind w:hanging="10" w:start="247" w:end="426"/>
        <w:jc w:val="start"/>
        <w:rPr/>
      </w:pPr>
      <w:r>
        <w:rPr/>
        <w:t>Se dall’analisi qualitativa di screening non dovessero emergere rischi significativi, in quanto gli aspetti adattativi sono stati presi in considerazione fin dalle fasi iniziali di progetto portando il rischio a un livello accettabile, viene compilata la sola dichiarazione di screening della resilienza climatica.</w:t>
      </w:r>
    </w:p>
    <w:p>
      <w:pPr>
        <w:pStyle w:val="Normal"/>
        <w:bidi w:val="0"/>
        <w:spacing w:before="0" w:after="286"/>
        <w:ind w:hanging="10" w:start="247" w:end="426"/>
        <w:jc w:val="start"/>
        <w:rPr/>
      </w:pPr>
      <w:r>
        <w:rPr/>
        <w:t>Se la valutazione dei rischi conclude che il progetto presenta, invece, rischi climatici significativi, si dovrà procedere con la fase di analisi dettagliata e dovrà essere attentamente valutata la fase progettuale (anche in termini di valutazione di alternative progettuali di ubicazione dell’intervento) al fine di gestire i rischi e ridurli a un livello accettabile nell’ambito della progettazione.</w:t>
      </w:r>
    </w:p>
    <w:p>
      <w:pPr>
        <w:pStyle w:val="Normal"/>
        <w:bidi w:val="0"/>
        <w:spacing w:before="0" w:after="222"/>
        <w:ind w:hanging="10" w:start="247" w:end="426"/>
        <w:jc w:val="start"/>
        <w:rPr/>
      </w:pPr>
      <w:r>
        <w:rPr/>
        <w:t>Per la fase di screening (valutazione della resilienza climatica) la combinazione dell’analisi dell’esposizione attuale e futura con l’analisi di sensibilità per tipologia di opera, consente di valutare la vulnerabilità dell’infrastruttura che si prevede di finanziare e individuare se e quali rischi siano realmente rilevanti per il progetto in esame.</w:t>
      </w:r>
    </w:p>
    <w:p>
      <w:pPr>
        <w:pStyle w:val="Normal"/>
        <w:bidi w:val="0"/>
        <w:spacing w:before="0" w:after="222"/>
        <w:ind w:hanging="10" w:start="247" w:end="426"/>
        <w:jc w:val="start"/>
        <w:rPr/>
      </w:pPr>
      <w:r>
        <w:rPr>
          <w:b/>
        </w:rPr>
        <w:t>Considerata la natura degli interventi di cui al presente Bando e la loro sensibilità rispetto agli eventi climatici che già si manifestano e si manifesteranno sul territorio piemontese, oltre ad indagare la vulnerabilità e il rischio dell’intervento in relazione alla situazione climatica territoriale e alle relative previsioni</w:t>
      </w:r>
      <w:r>
        <w:rPr/>
        <w:t xml:space="preserve"> (utilizzando le fonti dati di cui all’</w:t>
      </w:r>
      <w:r>
        <w:rPr/>
        <w:t>allegato C</w:t>
      </w:r>
      <w:r>
        <w:rPr/>
        <w:t xml:space="preserve">), </w:t>
      </w:r>
      <w:r>
        <w:rPr>
          <w:b/>
        </w:rPr>
        <w:t>nella progettazione degli interventi di cui al presente Bando,</w:t>
      </w:r>
      <w:r>
        <w:rPr/>
        <w:t xml:space="preserve"> </w:t>
      </w:r>
      <w:r>
        <w:rPr>
          <w:b/>
        </w:rPr>
        <w:t>gli aspetti adattativi devono comunque essere sviluppati, prevedendo le necessarie operazioni di difesa</w:t>
      </w:r>
      <w:r>
        <w:rPr/>
        <w:t xml:space="preserve"> (Azioni di adattamento) </w:t>
      </w:r>
      <w:r>
        <w:rPr>
          <w:b/>
        </w:rPr>
        <w:t>dai rischi climatici di pertinenza dell’opera, ma anche evidenziando le modalità per conseguire una ottimale fase manutentiva/gestionale delle opere, portando così il rischio a un livello accettabile</w:t>
      </w:r>
      <w:r>
        <w:rPr/>
        <w:t xml:space="preserve">. </w:t>
      </w:r>
    </w:p>
    <w:p>
      <w:pPr>
        <w:pStyle w:val="Normal"/>
        <w:bidi w:val="0"/>
        <w:ind w:hanging="10" w:start="247" w:end="426"/>
        <w:jc w:val="start"/>
        <w:rPr/>
      </w:pPr>
      <w:r>
        <w:rPr/>
        <w:t>Come indicato dalla Comunicazione (2021/C 373/01) le principali variabili e pericoli climatici da prendere in considerazione nella valutazione della vulnerabilità e del rischio sono:</w:t>
      </w:r>
    </w:p>
    <w:p>
      <w:pPr>
        <w:pStyle w:val="Normal"/>
        <w:numPr>
          <w:ilvl w:val="0"/>
          <w:numId w:val="1"/>
        </w:numPr>
        <w:bidi w:val="0"/>
        <w:ind w:hanging="126" w:start="363" w:end="426"/>
        <w:jc w:val="start"/>
        <w:rPr/>
      </w:pPr>
      <w:r>
        <w:rPr/>
        <w:t>ondate di calore</w:t>
      </w:r>
    </w:p>
    <w:p>
      <w:pPr>
        <w:pStyle w:val="Normal"/>
        <w:numPr>
          <w:ilvl w:val="0"/>
          <w:numId w:val="1"/>
        </w:numPr>
        <w:bidi w:val="0"/>
        <w:ind w:hanging="126" w:start="363" w:end="426"/>
        <w:jc w:val="start"/>
        <w:rPr/>
      </w:pPr>
      <w:r>
        <w:rPr/>
        <w:t>ondate di freddo</w:t>
      </w:r>
    </w:p>
    <w:p>
      <w:pPr>
        <w:pStyle w:val="Normal"/>
        <w:numPr>
          <w:ilvl w:val="0"/>
          <w:numId w:val="1"/>
        </w:numPr>
        <w:bidi w:val="0"/>
        <w:ind w:hanging="126" w:start="363" w:end="426"/>
        <w:jc w:val="start"/>
        <w:rPr/>
      </w:pPr>
      <w:r>
        <w:rPr/>
        <w:t>siccità</w:t>
      </w:r>
    </w:p>
    <w:p>
      <w:pPr>
        <w:pStyle w:val="Normal"/>
        <w:numPr>
          <w:ilvl w:val="0"/>
          <w:numId w:val="1"/>
        </w:numPr>
        <w:bidi w:val="0"/>
        <w:ind w:hanging="126" w:start="363" w:end="426"/>
        <w:jc w:val="start"/>
        <w:rPr/>
      </w:pPr>
      <w:r>
        <w:rPr/>
        <w:t>incendi in aree verdi periurbane o prossime agli interventi</w:t>
      </w:r>
    </w:p>
    <w:p>
      <w:pPr>
        <w:pStyle w:val="Normal"/>
        <w:numPr>
          <w:ilvl w:val="0"/>
          <w:numId w:val="1"/>
        </w:numPr>
        <w:bidi w:val="0"/>
        <w:ind w:hanging="126" w:start="363" w:end="426"/>
        <w:jc w:val="start"/>
        <w:rPr/>
      </w:pPr>
      <w:r>
        <w:rPr/>
        <w:t>regimi alluvionali ed eventi piovosi estremi</w:t>
      </w:r>
    </w:p>
    <w:p>
      <w:pPr>
        <w:pStyle w:val="Normal"/>
        <w:numPr>
          <w:ilvl w:val="0"/>
          <w:numId w:val="1"/>
        </w:numPr>
        <w:bidi w:val="0"/>
        <w:ind w:hanging="126" w:start="363" w:end="426"/>
        <w:jc w:val="start"/>
        <w:rPr/>
      </w:pPr>
      <w:r>
        <w:rPr/>
        <w:t>tempeste e raffiche di vento</w:t>
      </w:r>
    </w:p>
    <w:p>
      <w:pPr>
        <w:pStyle w:val="Normal"/>
        <w:numPr>
          <w:ilvl w:val="0"/>
          <w:numId w:val="1"/>
        </w:numPr>
        <w:bidi w:val="0"/>
        <w:ind w:hanging="126" w:start="363" w:end="426"/>
        <w:jc w:val="start"/>
        <w:rPr/>
      </w:pPr>
      <w:r>
        <w:rPr/>
        <w:t>smottamenti e frane</w:t>
      </w:r>
    </w:p>
    <w:p>
      <w:pPr>
        <w:pStyle w:val="Normal"/>
        <w:numPr>
          <w:ilvl w:val="0"/>
          <w:numId w:val="1"/>
        </w:numPr>
        <w:bidi w:val="0"/>
        <w:ind w:hanging="126" w:start="363" w:end="426"/>
        <w:jc w:val="start"/>
        <w:rPr/>
      </w:pPr>
      <w:r>
        <w:rPr/>
        <w:t>valanghe e slavine</w:t>
      </w:r>
    </w:p>
    <w:p>
      <w:pPr>
        <w:pStyle w:val="Normal"/>
        <w:numPr>
          <w:ilvl w:val="0"/>
          <w:numId w:val="1"/>
        </w:numPr>
        <w:bidi w:val="0"/>
        <w:spacing w:before="0" w:after="220"/>
        <w:ind w:hanging="126" w:start="363" w:end="426"/>
        <w:jc w:val="start"/>
        <w:rPr/>
      </w:pPr>
      <w:r>
        <w:rPr/>
        <w:t>danni da congelamento-scongelamento.</w:t>
      </w:r>
    </w:p>
    <w:p>
      <w:pPr>
        <w:pStyle w:val="Normal"/>
        <w:bidi w:val="0"/>
        <w:ind w:hanging="10" w:start="247" w:end="426"/>
        <w:jc w:val="start"/>
        <w:rPr/>
      </w:pPr>
      <w:r>
        <w:rPr/>
        <w:t>Inoltre devono essere sempre esplicitati i seguenti principi cardine:</w:t>
      </w:r>
    </w:p>
    <w:p>
      <w:pPr>
        <w:pStyle w:val="Normal"/>
        <w:numPr>
          <w:ilvl w:val="0"/>
          <w:numId w:val="2"/>
        </w:numPr>
        <w:bidi w:val="0"/>
        <w:spacing w:before="0" w:after="222"/>
        <w:ind w:hanging="10" w:start="247" w:end="426"/>
        <w:jc w:val="start"/>
        <w:rPr/>
      </w:pPr>
      <w:r>
        <w:rPr/>
        <w:t>verifica della coerenza del progetto infrastrutturale con le strategie e i piani dell'UE e, se presenti, nazionali, regionali e locali in materia di adattamento ai cambiamenti climatici e altri pertinenti documenti strategici e di pianificazione;</w:t>
      </w:r>
    </w:p>
    <w:p>
      <w:pPr>
        <w:pStyle w:val="Normal"/>
        <w:numPr>
          <w:ilvl w:val="0"/>
          <w:numId w:val="2"/>
        </w:numPr>
        <w:bidi w:val="0"/>
        <w:spacing w:before="0" w:after="222"/>
        <w:ind w:hanging="10" w:start="247" w:end="426"/>
        <w:jc w:val="start"/>
        <w:rPr/>
      </w:pPr>
      <w:r>
        <w:rPr/>
        <w:t>valutazione della portata e la necessità di un regolare monitoraggio e follow-up, ad esempio di ipotesi di situazioni</w:t>
      </w:r>
      <w:r>
        <w:rPr>
          <w:color w:val="C9211E"/>
        </w:rPr>
        <w:t xml:space="preserve"> </w:t>
      </w:r>
      <w:r>
        <w:rPr/>
        <w:t>critiche in relazione al futuro cambiamento climatico.</w:t>
      </w:r>
    </w:p>
    <w:p>
      <w:pPr>
        <w:pStyle w:val="Normal"/>
        <w:bidi w:val="0"/>
        <w:spacing w:before="0" w:after="450"/>
        <w:ind w:hanging="10" w:start="247" w:end="426"/>
        <w:jc w:val="start"/>
        <w:rPr/>
      </w:pPr>
      <w:r>
        <w:rPr/>
        <w:t>Entrambi gli aspetti dovrebbero essere adeguatamente integrati nel ciclo di sviluppo del progetto.</w:t>
      </w:r>
    </w:p>
    <w:p>
      <w:pPr>
        <w:pStyle w:val="Normal"/>
        <w:bidi w:val="0"/>
        <w:spacing w:lineRule="auto" w:line="259" w:before="0" w:after="212"/>
        <w:ind w:hanging="10" w:start="262" w:end="0"/>
        <w:jc w:val="start"/>
        <w:rPr>
          <w:u w:val="single" w:color="000000"/>
        </w:rPr>
      </w:pPr>
      <w:r>
        <w:rPr>
          <w:u w:val="single" w:color="000000"/>
        </w:rPr>
        <w:t>Ai fini dell’istruttoria sui progetti l’analisi e la valutazione del rischio climatico devono essere oggetto di:</w:t>
      </w:r>
    </w:p>
    <w:p>
      <w:pPr>
        <w:pStyle w:val="Normal"/>
        <w:numPr>
          <w:ilvl w:val="0"/>
          <w:numId w:val="3"/>
        </w:numPr>
        <w:bidi w:val="0"/>
        <w:spacing w:before="0" w:after="222"/>
        <w:ind w:hanging="10" w:start="247" w:end="426"/>
        <w:jc w:val="start"/>
        <w:rPr/>
      </w:pPr>
      <w:r>
        <w:rPr>
          <w:b/>
        </w:rPr>
        <w:t>dichiarazione di sintesi</w:t>
      </w:r>
      <w:r>
        <w:rPr/>
        <w:t xml:space="preserve"> secondo il modello di cui all’Allegato A al presente documento (</w:t>
      </w:r>
      <w:r>
        <w:rPr>
          <w:i/>
        </w:rPr>
        <w:t>Dichiarazione immunizzazione climatica</w:t>
      </w:r>
      <w:r>
        <w:rPr/>
        <w:t>)</w:t>
      </w:r>
    </w:p>
    <w:p>
      <w:pPr>
        <w:pStyle w:val="Normal"/>
        <w:numPr>
          <w:ilvl w:val="0"/>
          <w:numId w:val="3"/>
        </w:numPr>
        <w:bidi w:val="0"/>
        <w:ind w:hanging="10" w:start="247" w:end="426"/>
        <w:jc w:val="start"/>
        <w:rPr/>
      </w:pPr>
      <w:r>
        <w:rPr/>
        <w:t>trattazione nella</w:t>
      </w:r>
      <w:r>
        <w:rPr>
          <w:b/>
        </w:rPr>
        <w:t xml:space="preserve"> Relazione specialistica climatica </w:t>
      </w:r>
      <w:r>
        <w:rPr/>
        <w:t xml:space="preserve">(da allegare alla Relazione tecnico-economica di sintesi) avendo a riferimento il percorso evidenziato dalla Check-list della resa a prova di clima del progetto, di cui si riporta nel seguito un modello esemplificativo ma non esaustivo, da compilare a cura del progettista </w:t>
      </w:r>
      <w:r>
        <w:rPr/>
        <w:t>sulla base dell’allegato B</w:t>
      </w:r>
      <w:r>
        <w:rPr/>
        <w:t xml:space="preserve"> (Tabella 1). </w:t>
      </w:r>
    </w:p>
    <w:p>
      <w:pPr>
        <w:pStyle w:val="Heading2"/>
        <w:spacing w:lineRule="auto" w:line="276" w:before="0" w:after="0"/>
        <w:ind w:hanging="0" w:start="0" w:end="3134"/>
        <w:jc w:val="center"/>
        <w:rPr>
          <w:b/>
          <w:sz w:val="22"/>
          <w:u w:val="none"/>
        </w:rPr>
      </w:pPr>
      <w:r>
        <w:rPr>
          <w:b/>
          <w:sz w:val="22"/>
          <w:u w:val="none"/>
        </w:rPr>
      </w:r>
    </w:p>
    <w:p>
      <w:pPr>
        <w:pStyle w:val="Heading2"/>
        <w:spacing w:lineRule="auto" w:line="276" w:before="0" w:after="0"/>
        <w:ind w:hanging="0" w:start="0" w:end="3134"/>
        <w:jc w:val="start"/>
        <w:rPr>
          <w:b/>
          <w:sz w:val="22"/>
          <w:u w:val="none"/>
        </w:rPr>
      </w:pPr>
      <w:r>
        <w:rPr>
          <w:b/>
          <w:sz w:val="22"/>
          <w:u w:val="none"/>
        </w:rPr>
      </w:r>
      <w:r>
        <w:br w:type="page"/>
      </w:r>
    </w:p>
    <w:p>
      <w:pPr>
        <w:pStyle w:val="Heading2"/>
        <w:spacing w:lineRule="auto" w:line="276" w:before="0" w:after="0"/>
        <w:ind w:hanging="0" w:start="0" w:end="3134"/>
        <w:jc w:val="start"/>
        <w:rPr>
          <w:b/>
          <w:sz w:val="22"/>
          <w:u w:val="none"/>
        </w:rPr>
      </w:pPr>
      <w:r>
        <w:rPr>
          <w:b/>
          <w:sz w:val="22"/>
          <w:u w:val="none"/>
        </w:rPr>
        <w:t>Allegato A</w:t>
      </w:r>
    </w:p>
    <w:p>
      <w:pPr>
        <w:pStyle w:val="Heading2"/>
        <w:spacing w:lineRule="auto" w:line="276" w:before="0" w:after="0"/>
        <w:ind w:firstLine="1570" w:start="2962" w:end="3134"/>
        <w:rPr>
          <w:b/>
          <w:sz w:val="22"/>
          <w:u w:val="none"/>
        </w:rPr>
      </w:pPr>
      <w:r>
        <w:rPr>
          <w:b/>
          <w:sz w:val="22"/>
          <w:u w:val="none"/>
        </w:rPr>
      </w:r>
    </w:p>
    <w:p>
      <w:pPr>
        <w:pStyle w:val="Normal"/>
        <w:bidi w:val="0"/>
        <w:spacing w:lineRule="auto" w:line="264" w:before="0" w:after="135"/>
        <w:ind w:hanging="10" w:start="10" w:end="166"/>
        <w:jc w:val="center"/>
        <w:rPr/>
      </w:pPr>
      <w:r>
        <w:rPr>
          <w:b/>
        </w:rPr>
        <w:t xml:space="preserve">DICHIARAZIONE </w:t>
      </w:r>
      <w:r>
        <w:rPr>
          <w:b/>
        </w:rPr>
        <w:t>DI IMMUNIZZAZIONE CLIMATICA</w:t>
      </w:r>
      <w:r>
        <w:rPr>
          <w:b/>
          <w:sz w:val="22"/>
        </w:rPr>
        <w:t xml:space="preserve"> </w:t>
      </w:r>
    </w:p>
    <w:p>
      <w:pPr>
        <w:pStyle w:val="Normal"/>
        <w:bidi w:val="0"/>
        <w:ind w:hanging="10" w:start="247" w:end="426"/>
        <w:jc w:val="start"/>
        <w:rPr/>
      </w:pPr>
      <w:r>
        <w:rPr/>
        <w:t>Il/La Sottoscritto/a Cognome ___________________Nome________________________________</w:t>
      </w:r>
    </w:p>
    <w:p>
      <w:pPr>
        <w:pStyle w:val="Normal"/>
        <w:bidi w:val="0"/>
        <w:ind w:hanging="10" w:start="247" w:end="426"/>
        <w:jc w:val="start"/>
        <w:rPr/>
      </w:pPr>
      <w:r>
        <w:rPr/>
        <w:t>Nato/a ___________________________Provincia _______________________ il ______________ (in alternativa per Stato estero: Nato in _________________________________ il __________) Residente</w:t>
      </w:r>
    </w:p>
    <w:p>
      <w:pPr>
        <w:pStyle w:val="Normal"/>
        <w:bidi w:val="0"/>
        <w:ind w:hanging="10" w:start="247" w:end="426"/>
        <w:jc w:val="start"/>
        <w:rPr/>
      </w:pPr>
      <w:r>
        <w:rPr/>
        <w:t>in ___________________________ Provincia __________________________________</w:t>
      </w:r>
    </w:p>
    <w:p>
      <w:pPr>
        <w:pStyle w:val="Normal"/>
        <w:bidi w:val="0"/>
        <w:ind w:hanging="10" w:start="247" w:end="426"/>
        <w:jc w:val="start"/>
        <w:rPr/>
      </w:pPr>
      <w:r>
        <w:rPr/>
        <w:t xml:space="preserve">(in alternativa per Stato estero: Residente in __________________ città _____________________) </w:t>
      </w:r>
    </w:p>
    <w:p>
      <w:pPr>
        <w:pStyle w:val="Normal"/>
        <w:bidi w:val="0"/>
        <w:ind w:hanging="10" w:start="247" w:end="426"/>
        <w:jc w:val="start"/>
        <w:rPr/>
      </w:pPr>
      <w:r>
        <w:rPr/>
        <w:t>CAP _________________ Indirizzo ___________________________________n._______________</w:t>
      </w:r>
    </w:p>
    <w:p>
      <w:pPr>
        <w:pStyle w:val="Normal"/>
        <w:bidi w:val="0"/>
        <w:spacing w:before="0" w:after="220"/>
        <w:ind w:hanging="10" w:start="247" w:end="426"/>
        <w:jc w:val="start"/>
        <w:rPr/>
      </w:pPr>
      <w:r>
        <w:rPr/>
        <w:t>Codice Fiscale ____________________________________</w:t>
      </w:r>
    </w:p>
    <w:p>
      <w:pPr>
        <w:pStyle w:val="Normal"/>
        <w:bidi w:val="0"/>
        <w:spacing w:before="0" w:after="452"/>
        <w:ind w:hanging="10" w:start="247" w:end="426"/>
        <w:jc w:val="start"/>
        <w:rPr/>
      </w:pPr>
      <w:r>
        <w:rPr/>
        <w:t xml:space="preserve">consapevole delle sanzioni penali previste in caso di dichiarazioni non veritiere e di falsità negli atti di cui all’art. 76 del D.P.R. 28 dicembre 2000, n. 445 e della conseguente decadenza dei benefici di cui all’art. 75 del citato decreto, in qualità di </w:t>
      </w:r>
      <w:r>
        <w:rPr>
          <w:b/>
        </w:rPr>
        <w:t xml:space="preserve">LEGALE RAPPRESENTANTE/SOGGETTO DELEGATO </w:t>
      </w:r>
      <w:r>
        <w:rPr/>
        <w:t xml:space="preserve">dell’ENTE_________________________________ </w:t>
      </w:r>
    </w:p>
    <w:p>
      <w:pPr>
        <w:pStyle w:val="Normal"/>
        <w:bidi w:val="0"/>
        <w:spacing w:lineRule="auto" w:line="264" w:before="0" w:after="519"/>
        <w:ind w:hanging="10" w:start="10" w:end="168"/>
        <w:jc w:val="center"/>
        <w:rPr>
          <w:b/>
        </w:rPr>
      </w:pPr>
      <w:r>
        <w:rPr>
          <w:b/>
        </w:rPr>
        <w:t>DICHIARA CHE:</w:t>
      </w:r>
    </w:p>
    <w:p>
      <w:pPr>
        <w:pStyle w:val="Normal"/>
        <w:bidi w:val="0"/>
        <w:spacing w:before="0" w:after="54"/>
        <w:ind w:hanging="10" w:start="247" w:end="426"/>
        <w:jc w:val="start"/>
        <w:rPr/>
      </w:pPr>
      <w:r>
        <w:rPr/>
        <w:t>per l’operazione oggetto di finanziamento si è condotta l’</w:t>
      </w:r>
      <w:r>
        <w:rPr>
          <w:i/>
        </w:rPr>
        <w:t>analisi di vulnerabilità,</w:t>
      </w:r>
      <w:r>
        <w:rPr/>
        <w:t xml:space="preserve"> in ottemperanza al paragrafo 3.3 del documento “Orientamenti tecnici per infrastrutture a prova di clima nel periodo 2021-2027 (Comunicazione 2021/C 373/01)”. Si è proceduto ad una prima analisi (</w:t>
      </w:r>
      <w:r>
        <w:rPr>
          <w:i/>
        </w:rPr>
        <w:t>Screening</w:t>
      </w:r>
      <w:r>
        <w:rPr/>
        <w:t>) in funzione della tipologia specifica del Progetto (</w:t>
      </w:r>
      <w:r>
        <w:rPr>
          <w:i/>
        </w:rPr>
        <w:t>sensibilità</w:t>
      </w:r>
      <w:r>
        <w:rPr/>
        <w:t>) e del territorio in cui esso ricade (</w:t>
      </w:r>
      <w:r>
        <w:rPr>
          <w:i/>
        </w:rPr>
        <w:t>esposizione</w:t>
      </w:r>
      <w:r>
        <w:rPr/>
        <w:t xml:space="preserve">). </w:t>
      </w:r>
    </w:p>
    <w:p>
      <w:pPr>
        <w:pStyle w:val="Normal"/>
        <w:bidi w:val="0"/>
        <w:spacing w:before="0" w:after="346"/>
        <w:ind w:hanging="10" w:start="247" w:end="426"/>
        <w:jc w:val="start"/>
        <w:rPr/>
      </w:pPr>
      <w:r>
        <w:rPr/>
        <w:t>Le analisi effettuate sono</w:t>
      </w:r>
      <w:r>
        <w:rPr>
          <w:color w:val="BF0041"/>
        </w:rPr>
        <w:t xml:space="preserve"> </w:t>
      </w:r>
      <w:r>
        <w:rPr/>
        <w:t xml:space="preserve">documentate nella </w:t>
      </w:r>
      <w:r>
        <w:rPr>
          <w:b/>
        </w:rPr>
        <w:t>Relazione specialistica climatica</w:t>
      </w:r>
      <w:r>
        <w:rPr/>
        <w:t xml:space="preserve"> (allegato della Relazione tecnico-economica di sintesi - Allegato 7) </w:t>
      </w:r>
    </w:p>
    <w:p>
      <w:pPr>
        <w:pStyle w:val="Normal"/>
        <w:bidi w:val="0"/>
        <w:spacing w:before="0" w:after="480"/>
        <w:ind w:hanging="10" w:start="247" w:end="426"/>
        <w:jc w:val="start"/>
        <w:rPr/>
      </w:pPr>
      <w:r>
        <w:rPr/>
        <w:t>Effettuata l’analisi di vulnerabilità</w:t>
      </w:r>
      <w:r>
        <w:rPr>
          <w:b/>
        </w:rPr>
        <w:t xml:space="preserve"> </w:t>
      </w:r>
      <w:r>
        <w:rPr/>
        <w:t>si dichiara che, data la natura degli interventi, gli aspetti adattativi, inclusa un’ottimale fase manutentiva e gestionale delle opere, sono stati presi in considerazione fin dalle fasi iniziali di progetto portando il rischio a un livello accettabile.</w:t>
      </w:r>
    </w:p>
    <w:p>
      <w:pPr>
        <w:pStyle w:val="Normal"/>
        <w:bidi w:val="0"/>
        <w:ind w:hanging="10" w:start="247" w:end="426"/>
        <w:jc w:val="start"/>
        <w:rPr/>
      </w:pPr>
      <w:r>
        <w:rPr/>
        <w:t>La Tabella che segue riporta in sintesi gli aspetti adattativi analizzati e le azioni di adattamento “individuate” e applicate al progetto</w:t>
      </w:r>
    </w:p>
    <w:tbl>
      <w:tblPr>
        <w:tblW w:w="9462" w:type="dxa"/>
        <w:jc w:val="start"/>
        <w:tblInd w:w="338" w:type="dxa"/>
        <w:tblLayout w:type="fixed"/>
        <w:tblCellMar>
          <w:top w:w="117" w:type="dxa"/>
          <w:start w:w="102" w:type="dxa"/>
          <w:bottom w:w="0" w:type="dxa"/>
          <w:end w:w="115" w:type="dxa"/>
        </w:tblCellMar>
      </w:tblPr>
      <w:tblGrid>
        <w:gridCol w:w="4110"/>
        <w:gridCol w:w="5352"/>
      </w:tblGrid>
      <w:tr>
        <w:trPr>
          <w:trHeight w:val="680" w:hRule="atLeast"/>
        </w:trPr>
        <w:tc>
          <w:tcPr>
            <w:tcW w:w="4110" w:type="dxa"/>
            <w:tcBorders>
              <w:top w:val="single" w:sz="8" w:space="0" w:color="000000"/>
              <w:start w:val="single" w:sz="8" w:space="0" w:color="000000"/>
              <w:bottom w:val="single" w:sz="8" w:space="0" w:color="000000"/>
              <w:end w:val="single" w:sz="8" w:space="0" w:color="000000"/>
            </w:tcBorders>
            <w:vAlign w:val="center"/>
          </w:tcPr>
          <w:p>
            <w:pPr>
              <w:pStyle w:val="Normal"/>
              <w:widowControl/>
              <w:bidi w:val="0"/>
              <w:spacing w:lineRule="auto" w:line="259" w:before="0" w:after="0"/>
              <w:ind w:hanging="0" w:start="0" w:end="0"/>
              <w:jc w:val="center"/>
              <w:rPr>
                <w:kern w:val="2"/>
                <w:szCs w:val="24"/>
                <w:lang w:val="it-IT" w:eastAsia="it-IT" w:bidi="ar-SA"/>
              </w:rPr>
            </w:pPr>
            <w:r>
              <w:rPr>
                <w:b/>
                <w:kern w:val="2"/>
                <w:szCs w:val="24"/>
                <w:lang w:val="it-IT" w:eastAsia="it-IT" w:bidi="ar-SA"/>
              </w:rPr>
              <w:t>Tipologia di azione (</w:t>
            </w:r>
            <w:r>
              <w:rPr>
                <w:b/>
                <w:i/>
                <w:kern w:val="2"/>
                <w:szCs w:val="24"/>
                <w:lang w:val="it-IT" w:eastAsia="it-IT" w:bidi="ar-SA"/>
              </w:rPr>
              <w:t>indicativo</w:t>
            </w:r>
            <w:r>
              <w:rPr>
                <w:b/>
                <w:kern w:val="2"/>
                <w:szCs w:val="24"/>
                <w:lang w:val="it-IT" w:eastAsia="it-IT" w:bidi="ar-SA"/>
              </w:rPr>
              <w:t>)</w:t>
            </w:r>
          </w:p>
        </w:tc>
        <w:tc>
          <w:tcPr>
            <w:tcW w:w="5352" w:type="dxa"/>
            <w:tcBorders>
              <w:top w:val="single" w:sz="8" w:space="0" w:color="000000"/>
              <w:start w:val="single" w:sz="8" w:space="0" w:color="000000"/>
              <w:bottom w:val="single" w:sz="8" w:space="0" w:color="000000"/>
              <w:end w:val="single" w:sz="8" w:space="0" w:color="000000"/>
            </w:tcBorders>
            <w:vAlign w:val="center"/>
          </w:tcPr>
          <w:p>
            <w:pPr>
              <w:pStyle w:val="Normal"/>
              <w:widowControl/>
              <w:bidi w:val="0"/>
              <w:spacing w:lineRule="auto" w:line="259" w:before="0" w:after="0"/>
              <w:ind w:hanging="0" w:start="0" w:end="0"/>
              <w:jc w:val="center"/>
              <w:rPr>
                <w:b/>
                <w:kern w:val="2"/>
                <w:szCs w:val="24"/>
                <w:lang w:val="it-IT" w:eastAsia="it-IT" w:bidi="ar-SA"/>
              </w:rPr>
            </w:pPr>
            <w:r>
              <w:rPr>
                <w:b/>
                <w:kern w:val="2"/>
                <w:szCs w:val="24"/>
                <w:lang w:val="it-IT" w:eastAsia="it-IT" w:bidi="ar-SA"/>
              </w:rPr>
              <w:t>Breve descrizione dell’azione adottata</w:t>
            </w:r>
          </w:p>
          <w:p>
            <w:pPr>
              <w:pStyle w:val="Normal"/>
              <w:widowControl/>
              <w:bidi w:val="0"/>
              <w:spacing w:lineRule="auto" w:line="259" w:before="0" w:after="0"/>
              <w:ind w:hanging="0" w:start="0" w:end="0"/>
              <w:jc w:val="center"/>
              <w:rPr>
                <w:b/>
                <w:i/>
                <w:i/>
                <w:kern w:val="2"/>
                <w:szCs w:val="24"/>
                <w:lang w:val="it-IT" w:eastAsia="it-IT" w:bidi="ar-SA"/>
              </w:rPr>
            </w:pPr>
            <w:r>
              <w:rPr>
                <w:b/>
                <w:i/>
                <w:kern w:val="2"/>
                <w:szCs w:val="24"/>
                <w:lang w:val="it-IT" w:eastAsia="it-IT" w:bidi="ar-SA"/>
              </w:rPr>
              <w:t>(campo da compilare a cura del Beneficiario)</w:t>
            </w:r>
          </w:p>
        </w:tc>
      </w:tr>
      <w:tr>
        <w:trPr>
          <w:trHeight w:val="590" w:hRule="atLeast"/>
        </w:trPr>
        <w:tc>
          <w:tcPr>
            <w:tcW w:w="4110" w:type="dxa"/>
            <w:tcBorders>
              <w:top w:val="single" w:sz="8" w:space="0" w:color="000000"/>
              <w:start w:val="single" w:sz="8" w:space="0" w:color="000000"/>
              <w:bottom w:val="single" w:sz="8" w:space="0" w:color="000000"/>
              <w:end w:val="single" w:sz="8" w:space="0" w:color="000000"/>
            </w:tcBorders>
          </w:tcPr>
          <w:p>
            <w:pPr>
              <w:pStyle w:val="Normal"/>
              <w:widowControl/>
              <w:bidi w:val="0"/>
              <w:spacing w:lineRule="auto" w:line="259" w:before="0" w:after="0"/>
              <w:ind w:hanging="0" w:start="0" w:end="0"/>
              <w:jc w:val="start"/>
              <w:rPr>
                <w:kern w:val="2"/>
                <w:szCs w:val="24"/>
                <w:lang w:val="it-IT" w:eastAsia="it-IT" w:bidi="ar-SA"/>
              </w:rPr>
            </w:pPr>
            <w:r>
              <w:rPr>
                <w:kern w:val="2"/>
                <w:szCs w:val="24"/>
                <w:lang w:val="it-IT" w:eastAsia="it-IT" w:bidi="ar-SA"/>
              </w:rPr>
              <w:t>Formazione, sviluppo delle capacità</w:t>
            </w:r>
          </w:p>
        </w:tc>
        <w:tc>
          <w:tcPr>
            <w:tcW w:w="5352" w:type="dxa"/>
            <w:tcBorders>
              <w:top w:val="single" w:sz="8" w:space="0" w:color="000000"/>
              <w:start w:val="single" w:sz="8" w:space="0" w:color="000000"/>
              <w:bottom w:val="single" w:sz="8" w:space="0" w:color="000000"/>
              <w:end w:val="single" w:sz="8" w:space="0" w:color="000000"/>
            </w:tcBorders>
          </w:tcPr>
          <w:p>
            <w:pPr>
              <w:pStyle w:val="Normal"/>
              <w:widowControl/>
              <w:bidi w:val="0"/>
              <w:spacing w:lineRule="auto" w:line="259" w:before="0" w:after="160"/>
              <w:ind w:hanging="0" w:start="0" w:end="0"/>
              <w:jc w:val="start"/>
              <w:rPr>
                <w:kern w:val="2"/>
                <w:szCs w:val="24"/>
                <w:lang w:val="it-IT" w:eastAsia="it-IT" w:bidi="ar-SA"/>
              </w:rPr>
            </w:pPr>
            <w:r>
              <w:rPr>
                <w:kern w:val="2"/>
                <w:szCs w:val="24"/>
                <w:lang w:val="it-IT" w:eastAsia="it-IT" w:bidi="ar-SA"/>
              </w:rPr>
            </w:r>
          </w:p>
        </w:tc>
      </w:tr>
      <w:tr>
        <w:trPr>
          <w:trHeight w:val="590" w:hRule="atLeast"/>
        </w:trPr>
        <w:tc>
          <w:tcPr>
            <w:tcW w:w="4110" w:type="dxa"/>
            <w:tcBorders>
              <w:top w:val="single" w:sz="8" w:space="0" w:color="000000"/>
              <w:start w:val="single" w:sz="8" w:space="0" w:color="000000"/>
              <w:bottom w:val="single" w:sz="8" w:space="0" w:color="000000"/>
              <w:end w:val="single" w:sz="8" w:space="0" w:color="000000"/>
            </w:tcBorders>
          </w:tcPr>
          <w:p>
            <w:pPr>
              <w:pStyle w:val="Normal"/>
              <w:widowControl/>
              <w:bidi w:val="0"/>
              <w:spacing w:lineRule="auto" w:line="259" w:before="0" w:after="0"/>
              <w:ind w:hanging="0" w:start="0" w:end="0"/>
              <w:jc w:val="start"/>
              <w:rPr>
                <w:kern w:val="2"/>
                <w:szCs w:val="24"/>
                <w:lang w:val="it-IT" w:eastAsia="it-IT" w:bidi="ar-SA"/>
              </w:rPr>
            </w:pPr>
            <w:r>
              <w:rPr>
                <w:kern w:val="2"/>
                <w:szCs w:val="24"/>
                <w:lang w:val="it-IT" w:eastAsia="it-IT" w:bidi="ar-SA"/>
              </w:rPr>
              <w:t>Monitoraggio</w:t>
            </w:r>
          </w:p>
        </w:tc>
        <w:tc>
          <w:tcPr>
            <w:tcW w:w="5352" w:type="dxa"/>
            <w:tcBorders>
              <w:top w:val="single" w:sz="8" w:space="0" w:color="000000"/>
              <w:start w:val="single" w:sz="8" w:space="0" w:color="000000"/>
              <w:bottom w:val="single" w:sz="8" w:space="0" w:color="000000"/>
              <w:end w:val="single" w:sz="8" w:space="0" w:color="000000"/>
            </w:tcBorders>
          </w:tcPr>
          <w:p>
            <w:pPr>
              <w:pStyle w:val="Normal"/>
              <w:widowControl/>
              <w:bidi w:val="0"/>
              <w:spacing w:lineRule="auto" w:line="259" w:before="0" w:after="160"/>
              <w:ind w:hanging="0" w:start="0" w:end="0"/>
              <w:jc w:val="start"/>
              <w:rPr>
                <w:kern w:val="2"/>
                <w:szCs w:val="24"/>
                <w:lang w:val="it-IT" w:eastAsia="it-IT" w:bidi="ar-SA"/>
              </w:rPr>
            </w:pPr>
            <w:r>
              <w:rPr>
                <w:kern w:val="2"/>
                <w:szCs w:val="24"/>
                <w:lang w:val="it-IT" w:eastAsia="it-IT" w:bidi="ar-SA"/>
              </w:rPr>
            </w:r>
          </w:p>
        </w:tc>
      </w:tr>
      <w:tr>
        <w:trPr>
          <w:trHeight w:val="590" w:hRule="atLeast"/>
        </w:trPr>
        <w:tc>
          <w:tcPr>
            <w:tcW w:w="4110" w:type="dxa"/>
            <w:tcBorders>
              <w:top w:val="single" w:sz="8" w:space="0" w:color="000000"/>
              <w:start w:val="single" w:sz="8" w:space="0" w:color="000000"/>
              <w:bottom w:val="single" w:sz="8" w:space="0" w:color="000000"/>
              <w:end w:val="single" w:sz="8" w:space="0" w:color="000000"/>
            </w:tcBorders>
          </w:tcPr>
          <w:p>
            <w:pPr>
              <w:pStyle w:val="Normal"/>
              <w:widowControl/>
              <w:bidi w:val="0"/>
              <w:spacing w:lineRule="auto" w:line="259" w:before="0" w:after="0"/>
              <w:ind w:hanging="0" w:start="0" w:end="0"/>
              <w:jc w:val="start"/>
              <w:rPr>
                <w:kern w:val="2"/>
                <w:szCs w:val="24"/>
                <w:lang w:val="it-IT" w:eastAsia="it-IT" w:bidi="ar-SA"/>
              </w:rPr>
            </w:pPr>
            <w:r>
              <w:rPr>
                <w:kern w:val="2"/>
                <w:szCs w:val="24"/>
                <w:lang w:val="it-IT" w:eastAsia="it-IT" w:bidi="ar-SA"/>
              </w:rPr>
              <w:t xml:space="preserve">Uso di </w:t>
            </w:r>
            <w:r>
              <w:rPr>
                <w:i/>
                <w:kern w:val="2"/>
                <w:szCs w:val="24"/>
                <w:lang w:val="it-IT" w:eastAsia="it-IT" w:bidi="ar-SA"/>
              </w:rPr>
              <w:t>best practices</w:t>
            </w:r>
            <w:r>
              <w:rPr>
                <w:kern w:val="2"/>
                <w:szCs w:val="24"/>
                <w:lang w:val="it-IT" w:eastAsia="it-IT" w:bidi="ar-SA"/>
              </w:rPr>
              <w:t xml:space="preserve"> e norme</w:t>
            </w:r>
          </w:p>
        </w:tc>
        <w:tc>
          <w:tcPr>
            <w:tcW w:w="5352" w:type="dxa"/>
            <w:tcBorders>
              <w:top w:val="single" w:sz="8" w:space="0" w:color="000000"/>
              <w:start w:val="single" w:sz="8" w:space="0" w:color="000000"/>
              <w:bottom w:val="single" w:sz="8" w:space="0" w:color="000000"/>
              <w:end w:val="single" w:sz="8" w:space="0" w:color="000000"/>
            </w:tcBorders>
          </w:tcPr>
          <w:p>
            <w:pPr>
              <w:pStyle w:val="Normal"/>
              <w:widowControl/>
              <w:bidi w:val="0"/>
              <w:spacing w:lineRule="auto" w:line="259" w:before="0" w:after="160"/>
              <w:ind w:hanging="0" w:start="0" w:end="0"/>
              <w:jc w:val="start"/>
              <w:rPr>
                <w:kern w:val="2"/>
                <w:szCs w:val="24"/>
                <w:lang w:val="it-IT" w:eastAsia="it-IT" w:bidi="ar-SA"/>
              </w:rPr>
            </w:pPr>
            <w:r>
              <w:rPr>
                <w:kern w:val="2"/>
                <w:szCs w:val="24"/>
                <w:lang w:val="it-IT" w:eastAsia="it-IT" w:bidi="ar-SA"/>
              </w:rPr>
            </w:r>
          </w:p>
        </w:tc>
      </w:tr>
      <w:tr>
        <w:trPr>
          <w:trHeight w:val="820" w:hRule="atLeast"/>
        </w:trPr>
        <w:tc>
          <w:tcPr>
            <w:tcW w:w="4110" w:type="dxa"/>
            <w:tcBorders>
              <w:top w:val="single" w:sz="8" w:space="0" w:color="000000"/>
              <w:start w:val="single" w:sz="8" w:space="0" w:color="000000"/>
              <w:bottom w:val="single" w:sz="8" w:space="0" w:color="000000"/>
              <w:end w:val="single" w:sz="8" w:space="0" w:color="000000"/>
            </w:tcBorders>
          </w:tcPr>
          <w:p>
            <w:pPr>
              <w:pStyle w:val="Normal"/>
              <w:widowControl/>
              <w:bidi w:val="0"/>
              <w:spacing w:lineRule="auto" w:line="259" w:before="0" w:after="0"/>
              <w:ind w:hanging="0" w:start="0" w:end="0"/>
              <w:jc w:val="start"/>
              <w:rPr>
                <w:kern w:val="2"/>
                <w:szCs w:val="24"/>
                <w:lang w:val="it-IT" w:eastAsia="it-IT" w:bidi="ar-SA"/>
              </w:rPr>
            </w:pPr>
            <w:r>
              <w:rPr>
                <w:kern w:val="2"/>
                <w:szCs w:val="24"/>
                <w:lang w:val="it-IT" w:eastAsia="it-IT" w:bidi="ar-SA"/>
              </w:rPr>
              <w:t>Progettazione e uso di soluzioni tecniche per la realizzazione dell’intervento</w:t>
            </w:r>
          </w:p>
        </w:tc>
        <w:tc>
          <w:tcPr>
            <w:tcW w:w="5352" w:type="dxa"/>
            <w:tcBorders>
              <w:top w:val="single" w:sz="8" w:space="0" w:color="000000"/>
              <w:start w:val="single" w:sz="8" w:space="0" w:color="000000"/>
              <w:bottom w:val="single" w:sz="8" w:space="0" w:color="000000"/>
              <w:end w:val="single" w:sz="8" w:space="0" w:color="000000"/>
            </w:tcBorders>
          </w:tcPr>
          <w:p>
            <w:pPr>
              <w:pStyle w:val="Normal"/>
              <w:widowControl/>
              <w:bidi w:val="0"/>
              <w:spacing w:lineRule="auto" w:line="259" w:before="0" w:after="160"/>
              <w:ind w:hanging="0" w:start="0" w:end="0"/>
              <w:jc w:val="start"/>
              <w:rPr>
                <w:kern w:val="2"/>
                <w:szCs w:val="24"/>
                <w:lang w:val="it-IT" w:eastAsia="it-IT" w:bidi="ar-SA"/>
              </w:rPr>
            </w:pPr>
            <w:r>
              <w:rPr>
                <w:kern w:val="2"/>
                <w:szCs w:val="24"/>
                <w:lang w:val="it-IT" w:eastAsia="it-IT" w:bidi="ar-SA"/>
              </w:rPr>
            </w:r>
          </w:p>
        </w:tc>
      </w:tr>
      <w:tr>
        <w:trPr>
          <w:trHeight w:val="1280" w:hRule="atLeast"/>
        </w:trPr>
        <w:tc>
          <w:tcPr>
            <w:tcW w:w="4110" w:type="dxa"/>
            <w:tcBorders>
              <w:top w:val="single" w:sz="8" w:space="0" w:color="000000"/>
              <w:start w:val="single" w:sz="8" w:space="0" w:color="000000"/>
              <w:bottom w:val="single" w:sz="8" w:space="0" w:color="000000"/>
              <w:end w:val="single" w:sz="8" w:space="0" w:color="000000"/>
            </w:tcBorders>
          </w:tcPr>
          <w:p>
            <w:pPr>
              <w:pStyle w:val="Normal"/>
              <w:widowControl/>
              <w:bidi w:val="0"/>
              <w:spacing w:lineRule="auto" w:line="240" w:before="0" w:after="0"/>
              <w:ind w:hanging="0" w:start="0" w:end="0"/>
              <w:jc w:val="start"/>
              <w:rPr>
                <w:kern w:val="2"/>
                <w:szCs w:val="24"/>
                <w:lang w:val="it-IT" w:eastAsia="it-IT" w:bidi="ar-SA"/>
              </w:rPr>
            </w:pPr>
            <w:r>
              <w:rPr>
                <w:kern w:val="2"/>
                <w:szCs w:val="24"/>
                <w:lang w:val="it-IT" w:eastAsia="it-IT" w:bidi="ar-SA"/>
              </w:rPr>
              <w:t xml:space="preserve">Progettazione e uso di soluzioni tecniche che garantiscano una efficace </w:t>
            </w:r>
          </w:p>
          <w:p>
            <w:pPr>
              <w:pStyle w:val="Normal"/>
              <w:widowControl/>
              <w:bidi w:val="0"/>
              <w:spacing w:lineRule="auto" w:line="259" w:before="0" w:after="0"/>
              <w:ind w:hanging="0" w:start="0" w:end="0"/>
              <w:jc w:val="start"/>
              <w:rPr>
                <w:kern w:val="2"/>
                <w:szCs w:val="24"/>
                <w:lang w:val="it-IT" w:eastAsia="it-IT" w:bidi="ar-SA"/>
              </w:rPr>
            </w:pPr>
            <w:r>
              <w:rPr>
                <w:kern w:val="2"/>
                <w:szCs w:val="24"/>
                <w:lang w:val="it-IT" w:eastAsia="it-IT" w:bidi="ar-SA"/>
              </w:rPr>
              <w:t>manutenzione dell’intervento (es: uso della risorsa acqua, utilizzo di energia, etc.)</w:t>
            </w:r>
          </w:p>
        </w:tc>
        <w:tc>
          <w:tcPr>
            <w:tcW w:w="5352" w:type="dxa"/>
            <w:tcBorders>
              <w:top w:val="single" w:sz="8" w:space="0" w:color="000000"/>
              <w:start w:val="single" w:sz="8" w:space="0" w:color="000000"/>
              <w:bottom w:val="single" w:sz="8" w:space="0" w:color="000000"/>
              <w:end w:val="single" w:sz="8" w:space="0" w:color="000000"/>
            </w:tcBorders>
          </w:tcPr>
          <w:p>
            <w:pPr>
              <w:pStyle w:val="Normal"/>
              <w:widowControl/>
              <w:bidi w:val="0"/>
              <w:spacing w:lineRule="auto" w:line="259" w:before="0" w:after="160"/>
              <w:ind w:hanging="0" w:start="0" w:end="0"/>
              <w:jc w:val="start"/>
              <w:rPr>
                <w:kern w:val="2"/>
                <w:szCs w:val="24"/>
                <w:lang w:val="it-IT" w:eastAsia="it-IT" w:bidi="ar-SA"/>
              </w:rPr>
            </w:pPr>
            <w:r>
              <w:rPr>
                <w:kern w:val="2"/>
                <w:szCs w:val="24"/>
                <w:lang w:val="it-IT" w:eastAsia="it-IT" w:bidi="ar-SA"/>
              </w:rPr>
            </w:r>
          </w:p>
        </w:tc>
      </w:tr>
      <w:tr>
        <w:trPr>
          <w:trHeight w:val="590" w:hRule="atLeast"/>
        </w:trPr>
        <w:tc>
          <w:tcPr>
            <w:tcW w:w="4110" w:type="dxa"/>
            <w:tcBorders>
              <w:top w:val="single" w:sz="8" w:space="0" w:color="000000"/>
              <w:start w:val="single" w:sz="8" w:space="0" w:color="000000"/>
              <w:bottom w:val="single" w:sz="8" w:space="0" w:color="000000"/>
              <w:end w:val="single" w:sz="8" w:space="0" w:color="000000"/>
            </w:tcBorders>
          </w:tcPr>
          <w:p>
            <w:pPr>
              <w:pStyle w:val="Normal"/>
              <w:widowControl/>
              <w:bidi w:val="0"/>
              <w:spacing w:lineRule="auto" w:line="259" w:before="0" w:after="0"/>
              <w:ind w:hanging="0" w:start="0" w:end="0"/>
              <w:jc w:val="start"/>
              <w:rPr>
                <w:kern w:val="2"/>
                <w:szCs w:val="24"/>
                <w:lang w:val="it-IT" w:eastAsia="it-IT" w:bidi="ar-SA"/>
              </w:rPr>
            </w:pPr>
            <w:r>
              <w:rPr>
                <w:kern w:val="2"/>
                <w:szCs w:val="24"/>
                <w:lang w:val="it-IT" w:eastAsia="it-IT" w:bidi="ar-SA"/>
              </w:rPr>
              <w:t>Gestione dei rischi, assicurazione</w:t>
            </w:r>
          </w:p>
        </w:tc>
        <w:tc>
          <w:tcPr>
            <w:tcW w:w="5352" w:type="dxa"/>
            <w:tcBorders>
              <w:top w:val="single" w:sz="8" w:space="0" w:color="000000"/>
              <w:start w:val="single" w:sz="8" w:space="0" w:color="000000"/>
              <w:bottom w:val="single" w:sz="8" w:space="0" w:color="000000"/>
              <w:end w:val="single" w:sz="8" w:space="0" w:color="000000"/>
            </w:tcBorders>
          </w:tcPr>
          <w:p>
            <w:pPr>
              <w:pStyle w:val="Normal"/>
              <w:widowControl/>
              <w:bidi w:val="0"/>
              <w:spacing w:lineRule="auto" w:line="259" w:before="0" w:after="160"/>
              <w:ind w:hanging="0" w:start="0" w:end="0"/>
              <w:jc w:val="start"/>
              <w:rPr>
                <w:kern w:val="2"/>
                <w:szCs w:val="24"/>
                <w:lang w:val="it-IT" w:eastAsia="it-IT" w:bidi="ar-SA"/>
              </w:rPr>
            </w:pPr>
            <w:r>
              <w:rPr>
                <w:kern w:val="2"/>
                <w:szCs w:val="24"/>
                <w:lang w:val="it-IT" w:eastAsia="it-IT" w:bidi="ar-SA"/>
              </w:rPr>
            </w:r>
          </w:p>
        </w:tc>
      </w:tr>
      <w:tr>
        <w:trPr>
          <w:trHeight w:val="590" w:hRule="atLeast"/>
        </w:trPr>
        <w:tc>
          <w:tcPr>
            <w:tcW w:w="4110" w:type="dxa"/>
            <w:tcBorders>
              <w:top w:val="single" w:sz="8" w:space="0" w:color="000000"/>
              <w:start w:val="single" w:sz="8" w:space="0" w:color="000000"/>
              <w:bottom w:val="single" w:sz="8" w:space="0" w:color="000000"/>
              <w:end w:val="single" w:sz="8" w:space="0" w:color="000000"/>
            </w:tcBorders>
          </w:tcPr>
          <w:p>
            <w:pPr>
              <w:pStyle w:val="Normal"/>
              <w:widowControl/>
              <w:bidi w:val="0"/>
              <w:spacing w:lineRule="auto" w:line="259" w:before="0" w:after="0"/>
              <w:ind w:hanging="0" w:start="0" w:end="0"/>
              <w:jc w:val="start"/>
              <w:rPr>
                <w:kern w:val="2"/>
                <w:szCs w:val="24"/>
                <w:lang w:val="it-IT" w:eastAsia="it-IT" w:bidi="ar-SA"/>
              </w:rPr>
            </w:pPr>
            <w:r>
              <w:rPr>
                <w:kern w:val="2"/>
                <w:szCs w:val="24"/>
                <w:lang w:val="it-IT" w:eastAsia="it-IT" w:bidi="ar-SA"/>
              </w:rPr>
              <w:t>………………</w:t>
            </w:r>
            <w:r>
              <w:rPr>
                <w:kern w:val="2"/>
                <w:szCs w:val="24"/>
                <w:lang w:val="it-IT" w:eastAsia="it-IT" w:bidi="ar-SA"/>
              </w:rPr>
              <w:t>...</w:t>
            </w:r>
          </w:p>
        </w:tc>
        <w:tc>
          <w:tcPr>
            <w:tcW w:w="5352" w:type="dxa"/>
            <w:tcBorders>
              <w:top w:val="single" w:sz="8" w:space="0" w:color="000000"/>
              <w:start w:val="single" w:sz="8" w:space="0" w:color="000000"/>
              <w:bottom w:val="single" w:sz="8" w:space="0" w:color="000000"/>
              <w:end w:val="single" w:sz="8" w:space="0" w:color="000000"/>
            </w:tcBorders>
          </w:tcPr>
          <w:p>
            <w:pPr>
              <w:pStyle w:val="Normal"/>
              <w:widowControl/>
              <w:bidi w:val="0"/>
              <w:spacing w:lineRule="auto" w:line="259" w:before="0" w:after="160"/>
              <w:ind w:hanging="0" w:start="0" w:end="0"/>
              <w:jc w:val="start"/>
              <w:rPr>
                <w:kern w:val="2"/>
                <w:szCs w:val="24"/>
                <w:lang w:val="it-IT" w:eastAsia="it-IT" w:bidi="ar-SA"/>
              </w:rPr>
            </w:pPr>
            <w:r>
              <w:rPr>
                <w:kern w:val="2"/>
                <w:szCs w:val="24"/>
                <w:lang w:val="it-IT" w:eastAsia="it-IT" w:bidi="ar-SA"/>
              </w:rPr>
            </w:r>
          </w:p>
        </w:tc>
      </w:tr>
    </w:tbl>
    <w:p>
      <w:pPr>
        <w:pStyle w:val="Normal"/>
        <w:bidi w:val="0"/>
        <w:spacing w:before="0" w:after="636"/>
        <w:ind w:hanging="10" w:start="980" w:end="426"/>
        <w:jc w:val="start"/>
        <w:rPr/>
      </w:pPr>
      <w:r>
        <w:rPr/>
        <w:t>.</w:t>
      </w:r>
    </w:p>
    <w:p>
      <w:pPr>
        <w:pStyle w:val="Normal"/>
        <w:bidi w:val="0"/>
        <w:ind w:hanging="10" w:start="247" w:end="426"/>
        <w:jc w:val="start"/>
        <w:rPr/>
      </w:pPr>
      <w:r>
        <w:rPr/>
      </w:r>
      <w:r>
        <w:br w:type="page"/>
      </w:r>
    </w:p>
    <w:p>
      <w:pPr>
        <w:pStyle w:val="Heading2"/>
        <w:spacing w:lineRule="auto" w:line="276" w:before="0" w:after="0"/>
        <w:ind w:hanging="0" w:start="0" w:end="3134"/>
        <w:jc w:val="start"/>
        <w:rPr>
          <w:b/>
          <w:sz w:val="22"/>
          <w:u w:val="none"/>
        </w:rPr>
      </w:pPr>
      <w:r>
        <w:rPr>
          <w:b/>
          <w:sz w:val="22"/>
          <w:u w:val="none"/>
        </w:rPr>
        <w:t xml:space="preserve">Allegato </w:t>
      </w:r>
      <w:r>
        <w:rPr>
          <w:b/>
          <w:sz w:val="22"/>
          <w:u w:val="none"/>
        </w:rPr>
        <w:t>B</w:t>
      </w:r>
    </w:p>
    <w:p>
      <w:pPr>
        <w:pStyle w:val="Heading2"/>
        <w:spacing w:lineRule="auto" w:line="276" w:before="0" w:after="0"/>
        <w:ind w:firstLine="1570" w:start="2962" w:end="3134"/>
        <w:rPr>
          <w:b/>
          <w:sz w:val="22"/>
          <w:u w:val="none"/>
        </w:rPr>
      </w:pPr>
      <w:r>
        <w:rPr>
          <w:b/>
          <w:sz w:val="22"/>
          <w:u w:val="none"/>
        </w:rPr>
      </w:r>
    </w:p>
    <w:p>
      <w:pPr>
        <w:pStyle w:val="Normal"/>
        <w:bidi w:val="0"/>
        <w:spacing w:before="0" w:after="354"/>
        <w:ind w:hanging="10" w:start="247" w:end="426"/>
        <w:jc w:val="start"/>
        <w:rPr/>
      </w:pPr>
      <w:r>
        <w:rPr>
          <w:rFonts w:eastAsia="Arial" w:cs="Arial" w:ascii="Arial" w:hAnsi="Arial"/>
          <w:b/>
          <w:color w:val="000000"/>
          <w:sz w:val="20"/>
        </w:rPr>
        <w:t>Elementi utili per la realizzazione della r</w:t>
      </w:r>
      <w:r>
        <w:rPr>
          <w:rFonts w:eastAsia="Arial" w:cs="Arial" w:ascii="Arial" w:hAnsi="Arial"/>
          <w:b/>
          <w:color w:val="000000"/>
          <w:sz w:val="20"/>
        </w:rPr>
        <w:t>elazione specialistica climatica</w:t>
      </w:r>
    </w:p>
    <w:p>
      <w:pPr>
        <w:pStyle w:val="Normal"/>
        <w:bidi w:val="0"/>
        <w:spacing w:before="0" w:after="354"/>
        <w:ind w:hanging="10" w:start="247" w:end="426"/>
        <w:jc w:val="start"/>
        <w:rPr/>
      </w:pPr>
      <w:r>
        <w:rPr>
          <w:b/>
        </w:rPr>
        <w:t xml:space="preserve">Tabella 1 - Valutazione della resilienza climatica - </w:t>
      </w:r>
      <w:r>
        <w:rPr/>
        <w:t>Una corretta identificazione dei rischi potenzialmente presenti sul territorio consente una efficace gestione delle criticità attraverso l’applicazione di azioni di adattamento specifiche già in fase progettuale.</w:t>
      </w:r>
    </w:p>
    <w:tbl>
      <w:tblPr>
        <w:tblW w:w="9692" w:type="dxa"/>
        <w:jc w:val="start"/>
        <w:tblInd w:w="250" w:type="dxa"/>
        <w:tblLayout w:type="fixed"/>
        <w:tblCellMar>
          <w:top w:w="62" w:type="dxa"/>
          <w:start w:w="58" w:type="dxa"/>
          <w:bottom w:w="0" w:type="dxa"/>
          <w:end w:w="53" w:type="dxa"/>
        </w:tblCellMar>
      </w:tblPr>
      <w:tblGrid>
        <w:gridCol w:w="7380"/>
        <w:gridCol w:w="2312"/>
      </w:tblGrid>
      <w:tr>
        <w:trPr>
          <w:trHeight w:val="3792" w:hRule="atLeast"/>
        </w:trPr>
        <w:tc>
          <w:tcPr>
            <w:tcW w:w="7380" w:type="dxa"/>
            <w:tcBorders>
              <w:top w:val="single" w:sz="2" w:space="0" w:color="000000"/>
              <w:start w:val="single" w:sz="2" w:space="0" w:color="000000"/>
              <w:bottom w:val="single" w:sz="2" w:space="0" w:color="000000"/>
              <w:end w:val="single" w:sz="2" w:space="0" w:color="000000"/>
            </w:tcBorders>
          </w:tcPr>
          <w:p>
            <w:pPr>
              <w:pStyle w:val="Normal"/>
              <w:widowControl/>
              <w:bidi w:val="0"/>
              <w:spacing w:lineRule="auto" w:line="240" w:before="0" w:after="230"/>
              <w:ind w:hanging="0" w:start="0" w:end="2"/>
              <w:jc w:val="start"/>
              <w:rPr>
                <w:i/>
                <w:i/>
                <w:kern w:val="2"/>
                <w:szCs w:val="24"/>
                <w:lang w:val="it-IT" w:eastAsia="it-IT" w:bidi="ar-SA"/>
              </w:rPr>
            </w:pPr>
            <w:r>
              <w:rPr>
                <w:i/>
                <w:kern w:val="2"/>
                <w:szCs w:val="24"/>
                <w:lang w:val="it-IT" w:eastAsia="it-IT" w:bidi="ar-SA"/>
              </w:rPr>
              <w:t>1) Effettuare la valutazione della vulnerabilità ai rischi, comprese le analisi della sensibilità e dell’esposizione, generati dai cambiamenti climatici sulle aree interessate e sul progetto, individuati sulla base del clima attuale e futuro (con un orizzonte temporale almeno al 2050)</w:t>
            </w:r>
          </w:p>
          <w:p>
            <w:pPr>
              <w:pStyle w:val="Normal"/>
              <w:widowControl/>
              <w:bidi w:val="0"/>
              <w:spacing w:lineRule="auto" w:line="240" w:before="0" w:after="0"/>
              <w:ind w:hanging="0" w:start="0" w:end="15"/>
              <w:jc w:val="start"/>
              <w:rPr>
                <w:kern w:val="2"/>
                <w:szCs w:val="24"/>
                <w:lang w:val="it-IT" w:eastAsia="it-IT" w:bidi="ar-SA"/>
              </w:rPr>
            </w:pPr>
            <w:r>
              <w:rPr>
                <w:kern w:val="2"/>
                <w:szCs w:val="24"/>
                <w:lang w:val="it-IT" w:eastAsia="it-IT" w:bidi="ar-SA"/>
              </w:rPr>
              <w:t>Tipologia di rischio da valutare in funzione del territorio interessato dal progetto: a) Precipitazioni intense, grandine, esondazioni, fenomeni erosivi</w:t>
            </w:r>
          </w:p>
          <w:p>
            <w:pPr>
              <w:pStyle w:val="Normal"/>
              <w:widowControl/>
              <w:numPr>
                <w:ilvl w:val="0"/>
                <w:numId w:val="4"/>
              </w:numPr>
              <w:bidi w:val="0"/>
              <w:spacing w:lineRule="auto" w:line="259" w:before="0" w:after="0"/>
              <w:ind w:hanging="232" w:start="232" w:end="0"/>
              <w:jc w:val="start"/>
              <w:rPr>
                <w:kern w:val="2"/>
                <w:szCs w:val="24"/>
                <w:lang w:val="it-IT" w:eastAsia="it-IT" w:bidi="ar-SA"/>
              </w:rPr>
            </w:pPr>
            <w:r>
              <w:rPr>
                <w:kern w:val="2"/>
                <w:szCs w:val="24"/>
                <w:lang w:val="it-IT" w:eastAsia="it-IT" w:bidi="ar-SA"/>
              </w:rPr>
              <w:t>Tempeste e raffiche di vento</w:t>
            </w:r>
          </w:p>
          <w:p>
            <w:pPr>
              <w:pStyle w:val="Normal"/>
              <w:widowControl/>
              <w:numPr>
                <w:ilvl w:val="0"/>
                <w:numId w:val="4"/>
              </w:numPr>
              <w:bidi w:val="0"/>
              <w:spacing w:lineRule="auto" w:line="259" w:before="0" w:after="0"/>
              <w:ind w:hanging="232" w:start="232" w:end="0"/>
              <w:jc w:val="start"/>
              <w:rPr>
                <w:kern w:val="2"/>
                <w:szCs w:val="24"/>
                <w:lang w:val="it-IT" w:eastAsia="it-IT" w:bidi="ar-SA"/>
              </w:rPr>
            </w:pPr>
            <w:r>
              <w:rPr>
                <w:kern w:val="2"/>
                <w:szCs w:val="24"/>
                <w:lang w:val="it-IT" w:eastAsia="it-IT" w:bidi="ar-SA"/>
              </w:rPr>
              <w:t>Siccità, assenza di acqua, ondate di calore</w:t>
            </w:r>
          </w:p>
          <w:p>
            <w:pPr>
              <w:pStyle w:val="Normal"/>
              <w:widowControl/>
              <w:numPr>
                <w:ilvl w:val="0"/>
                <w:numId w:val="4"/>
              </w:numPr>
              <w:bidi w:val="0"/>
              <w:spacing w:lineRule="auto" w:line="259" w:before="0" w:after="0"/>
              <w:ind w:hanging="232" w:start="232" w:end="0"/>
              <w:jc w:val="start"/>
              <w:rPr>
                <w:kern w:val="2"/>
                <w:szCs w:val="24"/>
                <w:lang w:val="it-IT" w:eastAsia="it-IT" w:bidi="ar-SA"/>
              </w:rPr>
            </w:pPr>
            <w:r>
              <w:rPr>
                <w:kern w:val="2"/>
                <w:szCs w:val="24"/>
                <w:lang w:val="it-IT" w:eastAsia="it-IT" w:bidi="ar-SA"/>
              </w:rPr>
              <w:t>Incendi verdi periurbane o prossime agli interventi</w:t>
            </w:r>
          </w:p>
          <w:p>
            <w:pPr>
              <w:pStyle w:val="Normal"/>
              <w:widowControl/>
              <w:numPr>
                <w:ilvl w:val="0"/>
                <w:numId w:val="4"/>
              </w:numPr>
              <w:bidi w:val="0"/>
              <w:spacing w:lineRule="auto" w:line="259" w:before="0" w:after="0"/>
              <w:ind w:hanging="232" w:start="232" w:end="0"/>
              <w:jc w:val="start"/>
              <w:rPr>
                <w:kern w:val="2"/>
                <w:szCs w:val="24"/>
                <w:lang w:val="it-IT" w:eastAsia="it-IT" w:bidi="ar-SA"/>
              </w:rPr>
            </w:pPr>
            <w:r>
              <w:rPr>
                <w:kern w:val="2"/>
                <w:szCs w:val="24"/>
                <w:lang w:val="it-IT" w:eastAsia="it-IT" w:bidi="ar-SA"/>
              </w:rPr>
              <w:t>Carico nevoso, gelate, ondate di freddo</w:t>
            </w:r>
          </w:p>
          <w:p>
            <w:pPr>
              <w:pStyle w:val="Normal"/>
              <w:widowControl/>
              <w:numPr>
                <w:ilvl w:val="0"/>
                <w:numId w:val="4"/>
              </w:numPr>
              <w:bidi w:val="0"/>
              <w:spacing w:lineRule="auto" w:line="259" w:before="0" w:after="0"/>
              <w:ind w:hanging="232" w:start="232" w:end="0"/>
              <w:jc w:val="start"/>
              <w:rPr>
                <w:kern w:val="2"/>
                <w:szCs w:val="24"/>
                <w:lang w:val="it-IT" w:eastAsia="it-IT" w:bidi="ar-SA"/>
              </w:rPr>
            </w:pPr>
            <w:r>
              <w:rPr>
                <w:kern w:val="2"/>
                <w:szCs w:val="24"/>
                <w:lang w:val="it-IT" w:eastAsia="it-IT" w:bidi="ar-SA"/>
              </w:rPr>
              <w:t>Espansione di vegetazione invasiva nelle aree verdi riqualificate</w:t>
            </w:r>
          </w:p>
          <w:p>
            <w:pPr>
              <w:pStyle w:val="Normal"/>
              <w:widowControl/>
              <w:numPr>
                <w:ilvl w:val="0"/>
                <w:numId w:val="4"/>
              </w:numPr>
              <w:bidi w:val="0"/>
              <w:spacing w:lineRule="auto" w:line="259" w:before="0" w:after="0"/>
              <w:ind w:hanging="232" w:start="232" w:end="0"/>
              <w:jc w:val="start"/>
              <w:rPr>
                <w:kern w:val="2"/>
                <w:szCs w:val="24"/>
                <w:lang w:val="it-IT" w:eastAsia="it-IT" w:bidi="ar-SA"/>
              </w:rPr>
            </w:pPr>
            <w:r>
              <w:rPr>
                <w:kern w:val="2"/>
                <w:szCs w:val="24"/>
                <w:lang w:val="it-IT" w:eastAsia="it-IT" w:bidi="ar-SA"/>
              </w:rPr>
              <w:t>Attacchi biotici (da microfauna, fungini etc.).</w:t>
            </w:r>
          </w:p>
          <w:p>
            <w:pPr>
              <w:pStyle w:val="Normal"/>
              <w:widowControl/>
              <w:numPr>
                <w:ilvl w:val="0"/>
                <w:numId w:val="4"/>
              </w:numPr>
              <w:bidi w:val="0"/>
              <w:spacing w:lineRule="auto" w:line="259" w:before="0" w:after="0"/>
              <w:ind w:hanging="232" w:start="232" w:end="0"/>
              <w:jc w:val="start"/>
              <w:rPr>
                <w:kern w:val="2"/>
                <w:szCs w:val="24"/>
                <w:lang w:val="it-IT" w:eastAsia="it-IT" w:bidi="ar-SA"/>
              </w:rPr>
            </w:pPr>
            <w:r>
              <w:rPr>
                <w:kern w:val="2"/>
                <w:szCs w:val="24"/>
                <w:lang w:val="it-IT" w:eastAsia="it-IT" w:bidi="ar-SA"/>
              </w:rPr>
              <w:t>Altro (specificare)</w:t>
            </w:r>
          </w:p>
        </w:tc>
        <w:tc>
          <w:tcPr>
            <w:tcW w:w="2312" w:type="dxa"/>
            <w:tcBorders>
              <w:top w:val="single" w:sz="2" w:space="0" w:color="000000"/>
              <w:start w:val="single" w:sz="2" w:space="0" w:color="000000"/>
              <w:bottom w:val="single" w:sz="2" w:space="0" w:color="000000"/>
              <w:end w:val="single" w:sz="2" w:space="0" w:color="000000"/>
            </w:tcBorders>
          </w:tcPr>
          <w:p>
            <w:pPr>
              <w:pStyle w:val="Normal"/>
              <w:widowControl/>
              <w:bidi w:val="0"/>
              <w:spacing w:lineRule="auto" w:line="259" w:before="0" w:after="212"/>
              <w:ind w:hanging="0" w:start="0" w:end="0"/>
              <w:jc w:val="start"/>
              <w:rPr>
                <w:kern w:val="2"/>
                <w:szCs w:val="24"/>
                <w:lang w:val="it-IT" w:eastAsia="it-IT" w:bidi="ar-SA"/>
              </w:rPr>
            </w:pPr>
            <w:r>
              <w:rPr>
                <w:kern w:val="2"/>
                <w:szCs w:val="24"/>
                <w:lang w:val="it-IT" w:eastAsia="it-IT" w:bidi="ar-SA"/>
              </w:rPr>
              <w:t>Riferimenti in:</w:t>
            </w:r>
          </w:p>
          <w:p>
            <w:pPr>
              <w:pStyle w:val="Normal"/>
              <w:widowControl/>
              <w:bidi w:val="0"/>
              <w:spacing w:lineRule="auto" w:line="259" w:before="0" w:after="0"/>
              <w:ind w:hanging="0" w:start="0" w:end="0"/>
              <w:jc w:val="start"/>
              <w:rPr>
                <w:kern w:val="2"/>
                <w:szCs w:val="24"/>
                <w:lang w:val="it-IT" w:eastAsia="it-IT" w:bidi="ar-SA"/>
              </w:rPr>
            </w:pPr>
            <w:r>
              <w:rPr>
                <w:kern w:val="2"/>
                <w:szCs w:val="24"/>
                <w:lang w:val="it-IT" w:eastAsia="it-IT" w:bidi="ar-SA"/>
              </w:rPr>
              <w:t>Relazione specialistica climatica [____] pag.</w:t>
            </w:r>
          </w:p>
        </w:tc>
      </w:tr>
      <w:tr>
        <w:trPr>
          <w:trHeight w:val="4712" w:hRule="atLeast"/>
        </w:trPr>
        <w:tc>
          <w:tcPr>
            <w:tcW w:w="7380" w:type="dxa"/>
            <w:tcBorders>
              <w:top w:val="single" w:sz="2" w:space="0" w:color="000000"/>
              <w:start w:val="single" w:sz="2" w:space="0" w:color="000000"/>
              <w:bottom w:val="single" w:sz="2" w:space="0" w:color="000000"/>
              <w:end w:val="single" w:sz="2" w:space="0" w:color="000000"/>
            </w:tcBorders>
          </w:tcPr>
          <w:p>
            <w:pPr>
              <w:pStyle w:val="Normal"/>
              <w:widowControl/>
              <w:bidi w:val="0"/>
              <w:spacing w:lineRule="auto" w:line="240" w:before="0" w:after="230"/>
              <w:ind w:hanging="0" w:start="0" w:end="11"/>
              <w:jc w:val="start"/>
              <w:rPr>
                <w:i/>
                <w:i/>
                <w:kern w:val="2"/>
                <w:szCs w:val="24"/>
                <w:lang w:val="it-IT" w:eastAsia="it-IT" w:bidi="ar-SA"/>
              </w:rPr>
            </w:pPr>
            <w:r>
              <w:rPr>
                <w:i/>
                <w:kern w:val="2"/>
                <w:szCs w:val="24"/>
                <w:lang w:val="it-IT" w:eastAsia="it-IT" w:bidi="ar-SA"/>
              </w:rPr>
              <w:t>2) Affrontare i rischi climatici significativi mediante l’individuazione, la valutazione, la pianificazione e l’attuazione di misure di adattamento pertinenti e adeguate nell’ambito del progetto (anche con riferimento al Piano Nazionale di adattamento ai Cambiamenti Climatici approvato con decreto del Ministro dell’ambiente e della sicurezza energetica, n. 434 del 21 dicembre 2023)</w:t>
            </w:r>
          </w:p>
          <w:p>
            <w:pPr>
              <w:pStyle w:val="Normal"/>
              <w:widowControl/>
              <w:numPr>
                <w:ilvl w:val="0"/>
                <w:numId w:val="5"/>
              </w:numPr>
              <w:bidi w:val="0"/>
              <w:spacing w:lineRule="auto" w:line="259" w:before="0" w:after="0"/>
              <w:ind w:hanging="259" w:start="259" w:end="6"/>
              <w:jc w:val="start"/>
              <w:rPr>
                <w:kern w:val="2"/>
                <w:szCs w:val="24"/>
                <w:lang w:val="it-IT" w:eastAsia="it-IT" w:bidi="ar-SA"/>
              </w:rPr>
            </w:pPr>
            <w:r>
              <w:rPr>
                <w:kern w:val="2"/>
                <w:szCs w:val="24"/>
                <w:lang w:val="it-IT" w:eastAsia="it-IT" w:bidi="ar-SA"/>
              </w:rPr>
              <w:t>Previsione meteoclimatica e programmazione interventi</w:t>
            </w:r>
          </w:p>
          <w:p>
            <w:pPr>
              <w:pStyle w:val="Normal"/>
              <w:widowControl/>
              <w:numPr>
                <w:ilvl w:val="0"/>
                <w:numId w:val="5"/>
              </w:numPr>
              <w:bidi w:val="0"/>
              <w:spacing w:lineRule="auto" w:line="240" w:before="0" w:after="0"/>
              <w:ind w:hanging="259" w:start="259" w:end="6"/>
              <w:jc w:val="start"/>
              <w:rPr>
                <w:kern w:val="2"/>
                <w:szCs w:val="24"/>
                <w:lang w:val="it-IT" w:eastAsia="it-IT" w:bidi="ar-SA"/>
              </w:rPr>
            </w:pPr>
            <w:r>
              <w:rPr>
                <w:kern w:val="2"/>
                <w:szCs w:val="24"/>
                <w:lang w:val="it-IT" w:eastAsia="it-IT" w:bidi="ar-SA"/>
              </w:rPr>
              <w:t xml:space="preserve">Progettazione e uso di soluzioni tecniche per la realizzazione dell’intervento. A titolo esemplificativo: </w:t>
            </w:r>
          </w:p>
          <w:p>
            <w:pPr>
              <w:pStyle w:val="ListParagraph"/>
              <w:widowControl/>
              <w:numPr>
                <w:ilvl w:val="0"/>
                <w:numId w:val="6"/>
              </w:numPr>
              <w:bidi w:val="0"/>
              <w:spacing w:lineRule="auto" w:line="240" w:before="0" w:after="0"/>
              <w:ind w:hanging="340" w:start="340" w:end="6"/>
              <w:contextualSpacing/>
              <w:jc w:val="start"/>
              <w:rPr>
                <w:kern w:val="2"/>
                <w:szCs w:val="24"/>
                <w:lang w:val="it-IT" w:eastAsia="it-IT" w:bidi="ar-SA"/>
              </w:rPr>
            </w:pPr>
            <w:r>
              <w:rPr>
                <w:kern w:val="2"/>
                <w:szCs w:val="24"/>
                <w:lang w:val="it-IT" w:eastAsia="it-IT" w:bidi="ar-SA"/>
              </w:rPr>
              <w:t>Utilizzo di materiali drenanti per piazze, aree pedonali, spazi pubblici.</w:t>
            </w:r>
          </w:p>
          <w:p>
            <w:pPr>
              <w:pStyle w:val="Normal"/>
              <w:widowControl/>
              <w:numPr>
                <w:ilvl w:val="0"/>
                <w:numId w:val="6"/>
              </w:numPr>
              <w:bidi w:val="0"/>
              <w:spacing w:lineRule="auto" w:line="240" w:before="0" w:after="0"/>
              <w:ind w:hanging="340" w:start="340" w:end="0"/>
              <w:jc w:val="start"/>
              <w:rPr>
                <w:kern w:val="2"/>
                <w:szCs w:val="24"/>
                <w:lang w:val="it-IT" w:eastAsia="it-IT" w:bidi="ar-SA"/>
              </w:rPr>
            </w:pPr>
            <w:r>
              <w:rPr>
                <w:kern w:val="2"/>
                <w:szCs w:val="24"/>
                <w:lang w:val="it-IT" w:eastAsia="it-IT" w:bidi="ar-SA"/>
              </w:rPr>
              <w:t>Efficientamento e creazione di corsie preferenziali TPL e di piste ciclabili, con materiali resistenti a stress termici mediante l’impiego di soluzioni progettuali e materiali idonei a resistere agli effetti degli stress termici e delle variazioni climatiche.</w:t>
            </w:r>
          </w:p>
          <w:p>
            <w:pPr>
              <w:pStyle w:val="Normal"/>
              <w:widowControl/>
              <w:numPr>
                <w:ilvl w:val="0"/>
                <w:numId w:val="6"/>
              </w:numPr>
              <w:bidi w:val="0"/>
              <w:spacing w:lineRule="auto" w:line="259" w:before="0" w:after="0"/>
              <w:ind w:hanging="340" w:start="340" w:end="0"/>
              <w:jc w:val="start"/>
              <w:rPr>
                <w:kern w:val="2"/>
                <w:szCs w:val="24"/>
                <w:lang w:val="it-IT" w:eastAsia="it-IT" w:bidi="ar-SA"/>
              </w:rPr>
            </w:pPr>
            <w:r>
              <w:rPr>
                <w:kern w:val="2"/>
                <w:szCs w:val="24"/>
                <w:lang w:val="it-IT" w:eastAsia="it-IT" w:bidi="ar-SA"/>
              </w:rPr>
              <w:t>Inserimento di aree ombreggiate nelle zone pedonali, parchi e scuole car</w:t>
            </w:r>
            <w:r>
              <w:rPr>
                <w:rFonts w:cs="Cambria Math" w:ascii="Cambria Math" w:hAnsi="Cambria Math"/>
                <w:kern w:val="2"/>
                <w:szCs w:val="24"/>
                <w:lang w:val="it-IT" w:eastAsia="it-IT" w:bidi="ar-SA"/>
              </w:rPr>
              <w:noBreakHyphen/>
            </w:r>
            <w:r>
              <w:rPr>
                <w:kern w:val="2"/>
                <w:szCs w:val="24"/>
                <w:lang w:val="it-IT" w:eastAsia="it-IT" w:bidi="ar-SA"/>
              </w:rPr>
              <w:t>free</w:t>
            </w:r>
          </w:p>
          <w:p>
            <w:pPr>
              <w:pStyle w:val="Normal"/>
              <w:widowControl/>
              <w:numPr>
                <w:ilvl w:val="0"/>
                <w:numId w:val="6"/>
              </w:numPr>
              <w:bidi w:val="0"/>
              <w:spacing w:lineRule="auto" w:line="259" w:before="0" w:after="0"/>
              <w:ind w:hanging="340" w:start="340" w:end="0"/>
              <w:jc w:val="start"/>
              <w:rPr>
                <w:kern w:val="2"/>
                <w:szCs w:val="24"/>
                <w:lang w:val="it-IT" w:eastAsia="it-IT" w:bidi="ar-SA"/>
              </w:rPr>
            </w:pPr>
            <w:r>
              <w:rPr>
                <w:kern w:val="2"/>
                <w:szCs w:val="24"/>
                <w:lang w:val="it-IT" w:eastAsia="it-IT" w:bidi="ar-SA"/>
              </w:rPr>
              <w:t>Sistemi di raccolta e gestione acque meteoriche in aree di placemaking.</w:t>
            </w:r>
          </w:p>
          <w:p>
            <w:pPr>
              <w:pStyle w:val="ListParagraph"/>
              <w:widowControl/>
              <w:numPr>
                <w:ilvl w:val="0"/>
                <w:numId w:val="5"/>
              </w:numPr>
              <w:bidi w:val="0"/>
              <w:spacing w:lineRule="auto" w:line="240" w:before="0" w:after="0"/>
              <w:ind w:hanging="259" w:start="259" w:end="14"/>
              <w:contextualSpacing/>
              <w:jc w:val="start"/>
              <w:rPr>
                <w:kern w:val="2"/>
                <w:szCs w:val="24"/>
                <w:lang w:val="it-IT" w:eastAsia="it-IT" w:bidi="ar-SA"/>
              </w:rPr>
            </w:pPr>
            <w:r>
              <w:rPr>
                <w:kern w:val="2"/>
                <w:szCs w:val="24"/>
                <w:lang w:val="it-IT" w:eastAsia="it-IT" w:bidi="ar-SA"/>
              </w:rPr>
              <w:t xml:space="preserve">Uso di </w:t>
            </w:r>
            <w:r>
              <w:rPr>
                <w:i/>
                <w:kern w:val="2"/>
                <w:szCs w:val="24"/>
                <w:lang w:val="it-IT" w:eastAsia="it-IT" w:bidi="ar-SA"/>
              </w:rPr>
              <w:t>best practices</w:t>
            </w:r>
            <w:r>
              <w:rPr>
                <w:kern w:val="2"/>
                <w:szCs w:val="24"/>
                <w:lang w:val="it-IT" w:eastAsia="it-IT" w:bidi="ar-SA"/>
              </w:rPr>
              <w:t xml:space="preserve"> e norme</w:t>
            </w:r>
          </w:p>
          <w:p>
            <w:pPr>
              <w:pStyle w:val="ListParagraph"/>
              <w:widowControl/>
              <w:numPr>
                <w:ilvl w:val="0"/>
                <w:numId w:val="5"/>
              </w:numPr>
              <w:bidi w:val="0"/>
              <w:spacing w:before="0" w:after="4"/>
              <w:ind w:hanging="259" w:start="259" w:end="432"/>
              <w:contextualSpacing/>
              <w:jc w:val="start"/>
              <w:rPr>
                <w:kern w:val="2"/>
                <w:szCs w:val="24"/>
                <w:lang w:val="it-IT" w:eastAsia="it-IT" w:bidi="ar-SA"/>
              </w:rPr>
            </w:pPr>
            <w:r>
              <w:rPr>
                <w:kern w:val="2"/>
                <w:szCs w:val="24"/>
                <w:lang w:val="it-IT" w:eastAsia="it-IT" w:bidi="ar-SA"/>
              </w:rPr>
              <w:t>Formazione e sviluppo delle capacità del personale tecnico e dei soggetti coinvolti nella progettazione, realizzazione e gestione degli interventi, con riferimento ai rischi climatici</w:t>
            </w:r>
          </w:p>
          <w:p>
            <w:pPr>
              <w:pStyle w:val="ListParagraph"/>
              <w:widowControl/>
              <w:numPr>
                <w:ilvl w:val="0"/>
                <w:numId w:val="5"/>
              </w:numPr>
              <w:bidi w:val="0"/>
              <w:spacing w:lineRule="auto" w:line="240" w:before="0" w:after="0"/>
              <w:ind w:hanging="259" w:start="259" w:end="14"/>
              <w:contextualSpacing/>
              <w:jc w:val="start"/>
              <w:rPr>
                <w:kern w:val="2"/>
                <w:szCs w:val="24"/>
                <w:lang w:val="it-IT" w:eastAsia="it-IT" w:bidi="ar-SA"/>
              </w:rPr>
            </w:pPr>
            <w:r>
              <w:rPr>
                <w:kern w:val="2"/>
                <w:szCs w:val="24"/>
                <w:lang w:val="it-IT" w:eastAsia="it-IT" w:bidi="ar-SA"/>
              </w:rPr>
              <w:t>Altro (specificare)</w:t>
            </w:r>
          </w:p>
        </w:tc>
        <w:tc>
          <w:tcPr>
            <w:tcW w:w="2312" w:type="dxa"/>
            <w:tcBorders>
              <w:top w:val="single" w:sz="2" w:space="0" w:color="000000"/>
              <w:start w:val="single" w:sz="2" w:space="0" w:color="000000"/>
              <w:bottom w:val="single" w:sz="2" w:space="0" w:color="000000"/>
              <w:end w:val="single" w:sz="2" w:space="0" w:color="000000"/>
            </w:tcBorders>
          </w:tcPr>
          <w:p>
            <w:pPr>
              <w:pStyle w:val="Normal"/>
              <w:widowControl/>
              <w:bidi w:val="0"/>
              <w:spacing w:lineRule="auto" w:line="259" w:before="0" w:after="0"/>
              <w:ind w:hanging="0" w:start="0" w:end="0"/>
              <w:jc w:val="start"/>
              <w:rPr>
                <w:kern w:val="2"/>
                <w:szCs w:val="24"/>
                <w:lang w:val="it-IT" w:eastAsia="it-IT" w:bidi="ar-SA"/>
              </w:rPr>
            </w:pPr>
            <w:r>
              <w:rPr>
                <w:kern w:val="2"/>
                <w:szCs w:val="24"/>
                <w:lang w:val="it-IT" w:eastAsia="it-IT" w:bidi="ar-SA"/>
              </w:rPr>
              <w:t>Relazione specialistica climatica [____] pag.</w:t>
            </w:r>
          </w:p>
        </w:tc>
      </w:tr>
      <w:tr>
        <w:trPr>
          <w:trHeight w:val="2412" w:hRule="atLeast"/>
        </w:trPr>
        <w:tc>
          <w:tcPr>
            <w:tcW w:w="7380" w:type="dxa"/>
            <w:tcBorders>
              <w:top w:val="single" w:sz="2" w:space="0" w:color="000000"/>
              <w:start w:val="single" w:sz="2" w:space="0" w:color="000000"/>
              <w:bottom w:val="single" w:sz="2" w:space="0" w:color="000000"/>
              <w:end w:val="single" w:sz="2" w:space="0" w:color="000000"/>
            </w:tcBorders>
          </w:tcPr>
          <w:p>
            <w:pPr>
              <w:pStyle w:val="Normal"/>
              <w:widowControl/>
              <w:bidi w:val="0"/>
              <w:spacing w:lineRule="auto" w:line="240" w:before="0" w:after="230"/>
              <w:ind w:hanging="0" w:start="0" w:end="0"/>
              <w:jc w:val="start"/>
              <w:rPr>
                <w:i/>
                <w:i/>
                <w:kern w:val="2"/>
                <w:szCs w:val="24"/>
                <w:lang w:val="it-IT" w:eastAsia="it-IT" w:bidi="ar-SA"/>
              </w:rPr>
            </w:pPr>
            <w:r>
              <w:rPr>
                <w:i/>
                <w:kern w:val="2"/>
                <w:szCs w:val="24"/>
                <w:lang w:val="it-IT" w:eastAsia="it-IT" w:bidi="ar-SA"/>
              </w:rPr>
              <w:t>3) Valutare la portata e la necessità di un monitoraggio e di un seguito regolari, anche considerando delle ipotesi di base relative ai cambiamenti climatici futuri</w:t>
            </w:r>
          </w:p>
          <w:p>
            <w:pPr>
              <w:pStyle w:val="Normal"/>
              <w:widowControl/>
              <w:numPr>
                <w:ilvl w:val="0"/>
                <w:numId w:val="7"/>
              </w:numPr>
              <w:bidi w:val="0"/>
              <w:spacing w:lineRule="auto" w:line="240" w:before="0" w:after="0"/>
              <w:ind w:hanging="259" w:start="259" w:end="13"/>
              <w:jc w:val="start"/>
              <w:rPr>
                <w:kern w:val="2"/>
                <w:szCs w:val="24"/>
                <w:lang w:val="it-IT" w:eastAsia="it-IT" w:bidi="ar-SA"/>
              </w:rPr>
            </w:pPr>
            <w:r>
              <w:rPr>
                <w:kern w:val="2"/>
                <w:szCs w:val="24"/>
                <w:lang w:val="it-IT" w:eastAsia="it-IT" w:bidi="ar-SA"/>
              </w:rPr>
              <w:t>Progettazione e uso di soluzioni tecniche che garantiscano una efficace manutenzione dell’intervento (es: Controllo efficienza materiali drenanti, Valutazione periodica prestazioni torri anti</w:t>
            </w:r>
            <w:r>
              <w:rPr>
                <w:rFonts w:cs="Cambria Math" w:ascii="Cambria Math" w:hAnsi="Cambria Math"/>
                <w:kern w:val="2"/>
                <w:szCs w:val="24"/>
                <w:lang w:val="it-IT" w:eastAsia="it-IT" w:bidi="ar-SA"/>
              </w:rPr>
              <w:noBreakHyphen/>
            </w:r>
            <w:r>
              <w:rPr>
                <w:kern w:val="2"/>
                <w:szCs w:val="24"/>
                <w:lang w:val="it-IT" w:eastAsia="it-IT" w:bidi="ar-SA"/>
              </w:rPr>
              <w:t>polveri e sistemi di nebulizzazione, etc.)</w:t>
            </w:r>
          </w:p>
          <w:p>
            <w:pPr>
              <w:pStyle w:val="Normal"/>
              <w:widowControl/>
              <w:numPr>
                <w:ilvl w:val="0"/>
                <w:numId w:val="7"/>
              </w:numPr>
              <w:bidi w:val="0"/>
              <w:spacing w:lineRule="auto" w:line="240" w:before="0" w:after="0"/>
              <w:ind w:hanging="259" w:start="259" w:end="13"/>
              <w:jc w:val="start"/>
              <w:rPr>
                <w:kern w:val="2"/>
                <w:szCs w:val="24"/>
                <w:lang w:val="it-IT" w:eastAsia="it-IT" w:bidi="ar-SA"/>
              </w:rPr>
            </w:pPr>
            <w:r>
              <w:rPr>
                <w:kern w:val="2"/>
                <w:szCs w:val="24"/>
                <w:lang w:val="it-IT" w:eastAsia="it-IT" w:bidi="ar-SA"/>
              </w:rPr>
              <w:t>Redazione di cronoprogrammi della manutenzione ordinaria e straordinaria</w:t>
            </w:r>
          </w:p>
          <w:p>
            <w:pPr>
              <w:pStyle w:val="Normal"/>
              <w:widowControl/>
              <w:numPr>
                <w:ilvl w:val="0"/>
                <w:numId w:val="7"/>
              </w:numPr>
              <w:bidi w:val="0"/>
              <w:spacing w:lineRule="auto" w:line="240" w:before="0" w:after="0"/>
              <w:ind w:hanging="259" w:start="259" w:end="13"/>
              <w:jc w:val="start"/>
              <w:rPr>
                <w:kern w:val="2"/>
                <w:szCs w:val="24"/>
                <w:lang w:val="it-IT" w:eastAsia="it-IT" w:bidi="ar-SA"/>
              </w:rPr>
            </w:pPr>
            <w:r>
              <w:rPr>
                <w:kern w:val="2"/>
                <w:szCs w:val="24"/>
                <w:lang w:val="it-IT" w:eastAsia="it-IT" w:bidi="ar-SA"/>
              </w:rPr>
              <w:t xml:space="preserve">Quantificazione, accantonamento di risorse e stipula di contratti per la gestione del materiale vegetale di nuovo impianto. </w:t>
            </w:r>
          </w:p>
          <w:p>
            <w:pPr>
              <w:pStyle w:val="Normal"/>
              <w:widowControl/>
              <w:numPr>
                <w:ilvl w:val="0"/>
                <w:numId w:val="7"/>
              </w:numPr>
              <w:bidi w:val="0"/>
              <w:spacing w:lineRule="auto" w:line="240" w:before="0" w:after="0"/>
              <w:ind w:hanging="259" w:start="259" w:end="13"/>
              <w:jc w:val="start"/>
              <w:rPr>
                <w:kern w:val="2"/>
                <w:szCs w:val="24"/>
                <w:lang w:val="it-IT" w:eastAsia="it-IT" w:bidi="ar-SA"/>
              </w:rPr>
            </w:pPr>
            <w:r>
              <w:rPr>
                <w:kern w:val="2"/>
                <w:szCs w:val="24"/>
                <w:lang w:val="it-IT" w:eastAsia="it-IT" w:bidi="ar-SA"/>
              </w:rPr>
              <w:t>Stipula di assicurazioni</w:t>
            </w:r>
          </w:p>
          <w:p>
            <w:pPr>
              <w:pStyle w:val="Normal"/>
              <w:widowControl/>
              <w:numPr>
                <w:ilvl w:val="0"/>
                <w:numId w:val="7"/>
              </w:numPr>
              <w:bidi w:val="0"/>
              <w:spacing w:lineRule="auto" w:line="240" w:before="0" w:after="0"/>
              <w:ind w:hanging="259" w:start="259" w:end="13"/>
              <w:jc w:val="start"/>
              <w:rPr>
                <w:kern w:val="2"/>
                <w:szCs w:val="24"/>
                <w:lang w:val="it-IT" w:eastAsia="it-IT" w:bidi="ar-SA"/>
              </w:rPr>
            </w:pPr>
            <w:r>
              <w:rPr>
                <w:kern w:val="2"/>
                <w:szCs w:val="24"/>
                <w:lang w:val="it-IT" w:eastAsia="it-IT" w:bidi="ar-SA"/>
              </w:rPr>
              <w:t>Altro (specificare)</w:t>
            </w:r>
          </w:p>
        </w:tc>
        <w:tc>
          <w:tcPr>
            <w:tcW w:w="2312" w:type="dxa"/>
            <w:tcBorders>
              <w:top w:val="single" w:sz="2" w:space="0" w:color="000000"/>
              <w:start w:val="single" w:sz="2" w:space="0" w:color="000000"/>
              <w:bottom w:val="single" w:sz="2" w:space="0" w:color="000000"/>
              <w:end w:val="single" w:sz="2" w:space="0" w:color="000000"/>
            </w:tcBorders>
          </w:tcPr>
          <w:p>
            <w:pPr>
              <w:pStyle w:val="Normal"/>
              <w:widowControl/>
              <w:bidi w:val="0"/>
              <w:spacing w:lineRule="auto" w:line="240" w:before="0" w:after="0"/>
              <w:ind w:hanging="0" w:start="0" w:end="0"/>
              <w:jc w:val="start"/>
              <w:rPr>
                <w:kern w:val="2"/>
                <w:szCs w:val="24"/>
                <w:lang w:val="it-IT" w:eastAsia="it-IT" w:bidi="ar-SA"/>
              </w:rPr>
            </w:pPr>
            <w:r>
              <w:rPr>
                <w:kern w:val="2"/>
                <w:szCs w:val="24"/>
                <w:lang w:val="it-IT" w:eastAsia="it-IT" w:bidi="ar-SA"/>
              </w:rPr>
              <w:t>Relazione specialistica climatica [____] pag.</w:t>
            </w:r>
          </w:p>
          <w:p>
            <w:pPr>
              <w:pStyle w:val="Normal"/>
              <w:widowControl/>
              <w:bidi w:val="0"/>
              <w:spacing w:lineRule="auto" w:line="259" w:before="0" w:after="0"/>
              <w:ind w:hanging="0" w:start="0" w:end="0"/>
              <w:jc w:val="start"/>
              <w:rPr>
                <w:kern w:val="2"/>
                <w:szCs w:val="24"/>
                <w:lang w:val="it-IT" w:eastAsia="it-IT" w:bidi="ar-SA"/>
              </w:rPr>
            </w:pPr>
            <w:r>
              <w:rPr>
                <w:kern w:val="2"/>
                <w:szCs w:val="24"/>
                <w:lang w:val="it-IT" w:eastAsia="it-IT" w:bidi="ar-SA"/>
              </w:rPr>
              <w:t>Piano di gestione e</w:t>
            </w:r>
          </w:p>
          <w:p>
            <w:pPr>
              <w:pStyle w:val="Normal"/>
              <w:widowControl/>
              <w:bidi w:val="0"/>
              <w:spacing w:lineRule="auto" w:line="259" w:before="0" w:after="0"/>
              <w:ind w:hanging="0" w:start="0" w:end="0"/>
              <w:jc w:val="start"/>
              <w:rPr>
                <w:kern w:val="2"/>
                <w:szCs w:val="24"/>
                <w:lang w:val="it-IT" w:eastAsia="it-IT" w:bidi="ar-SA"/>
              </w:rPr>
            </w:pPr>
            <w:r>
              <w:rPr>
                <w:kern w:val="2"/>
                <w:szCs w:val="24"/>
                <w:lang w:val="it-IT" w:eastAsia="it-IT" w:bidi="ar-SA"/>
              </w:rPr>
              <w:t>manutenzione</w:t>
            </w:r>
          </w:p>
          <w:p>
            <w:pPr>
              <w:pStyle w:val="Normal"/>
              <w:widowControl/>
              <w:bidi w:val="0"/>
              <w:spacing w:lineRule="auto" w:line="259" w:before="0" w:after="0"/>
              <w:ind w:hanging="0" w:start="0" w:end="0"/>
              <w:jc w:val="start"/>
              <w:rPr>
                <w:kern w:val="2"/>
                <w:szCs w:val="24"/>
                <w:lang w:val="it-IT" w:eastAsia="it-IT" w:bidi="ar-SA"/>
              </w:rPr>
            </w:pPr>
            <w:r>
              <w:rPr>
                <w:kern w:val="2"/>
                <w:szCs w:val="24"/>
                <w:lang w:val="it-IT" w:eastAsia="it-IT" w:bidi="ar-SA"/>
              </w:rPr>
              <w:t>dell’intervento di durata almeno quinquennale – pag.</w:t>
            </w:r>
          </w:p>
        </w:tc>
      </w:tr>
    </w:tbl>
    <w:p>
      <w:pPr>
        <w:pStyle w:val="Heading2"/>
        <w:spacing w:lineRule="auto" w:line="276" w:before="0" w:after="0"/>
        <w:ind w:hanging="0" w:start="0" w:end="3134"/>
        <w:jc w:val="start"/>
        <w:rPr>
          <w:b/>
          <w:sz w:val="22"/>
          <w:u w:val="none"/>
        </w:rPr>
      </w:pPr>
      <w:r>
        <w:br w:type="page"/>
      </w:r>
      <w:r>
        <w:rPr>
          <w:b/>
          <w:sz w:val="22"/>
          <w:u w:val="none"/>
        </w:rPr>
        <w:t xml:space="preserve">Allegato </w:t>
      </w:r>
      <w:r>
        <w:rPr>
          <w:b/>
          <w:sz w:val="22"/>
          <w:u w:val="none"/>
        </w:rPr>
        <w:t>C</w:t>
      </w:r>
    </w:p>
    <w:p>
      <w:pPr>
        <w:pStyle w:val="Heading2"/>
        <w:spacing w:lineRule="auto" w:line="276" w:before="0" w:after="0"/>
        <w:ind w:firstLine="1570" w:start="2962" w:end="3134"/>
        <w:rPr>
          <w:b/>
          <w:sz w:val="22"/>
          <w:u w:val="none"/>
        </w:rPr>
      </w:pPr>
      <w:r>
        <w:rPr>
          <w:b/>
          <w:sz w:val="22"/>
          <w:u w:val="none"/>
        </w:rPr>
      </w:r>
    </w:p>
    <w:p>
      <w:pPr>
        <w:pStyle w:val="Normal"/>
        <w:bidi w:val="0"/>
        <w:spacing w:before="0" w:after="354"/>
        <w:ind w:start="247" w:end="426"/>
        <w:jc w:val="start"/>
        <w:rPr>
          <w:b/>
          <w:sz w:val="21"/>
        </w:rPr>
      </w:pPr>
      <w:r>
        <w:rPr>
          <w:b/>
          <w:sz w:val="21"/>
        </w:rPr>
        <w:t xml:space="preserve">Fonti dati a livello regionale, nazionale ed europeo utili ad </w:t>
      </w:r>
      <w:r>
        <w:rPr>
          <w:b/>
          <w:sz w:val="21"/>
        </w:rPr>
        <w:t xml:space="preserve">indagare la vulnerabilità e il rischio dell’intervento </w:t>
      </w:r>
      <w:r>
        <w:rPr>
          <w:b/>
          <w:sz w:val="21"/>
        </w:rPr>
        <w:t xml:space="preserve">proposto, </w:t>
      </w:r>
      <w:r>
        <w:rPr>
          <w:b/>
          <w:sz w:val="21"/>
        </w:rPr>
        <w:t>in relazione alla situazione climatica territoriale e alle relative previsioni</w:t>
      </w:r>
    </w:p>
    <w:tbl>
      <w:tblPr>
        <w:tblW w:w="9800" w:type="dxa"/>
        <w:jc w:val="start"/>
        <w:tblInd w:w="250" w:type="dxa"/>
        <w:tblLayout w:type="fixed"/>
        <w:tblCellMar>
          <w:top w:w="45" w:type="dxa"/>
          <w:start w:w="28" w:type="dxa"/>
          <w:bottom w:w="0" w:type="dxa"/>
          <w:end w:w="30" w:type="dxa"/>
        </w:tblCellMar>
      </w:tblPr>
      <w:tblGrid>
        <w:gridCol w:w="1639"/>
        <w:gridCol w:w="3180"/>
        <w:gridCol w:w="4981"/>
      </w:tblGrid>
      <w:tr>
        <w:trPr>
          <w:trHeight w:val="304" w:hRule="atLeast"/>
        </w:trPr>
        <w:tc>
          <w:tcPr>
            <w:tcW w:w="1639" w:type="dxa"/>
            <w:tcBorders>
              <w:top w:val="single" w:sz="8" w:space="0" w:color="808080"/>
              <w:start w:val="single" w:sz="8" w:space="0" w:color="808080"/>
              <w:bottom w:val="single" w:sz="8" w:space="0" w:color="808080"/>
              <w:end w:val="single" w:sz="8" w:space="0" w:color="808080"/>
            </w:tcBorders>
          </w:tcPr>
          <w:p>
            <w:pPr>
              <w:pStyle w:val="Normal"/>
              <w:widowControl/>
              <w:bidi w:val="0"/>
              <w:spacing w:lineRule="auto" w:line="259" w:before="0" w:after="160"/>
              <w:ind w:hanging="0" w:start="0" w:end="0"/>
              <w:jc w:val="start"/>
              <w:rPr>
                <w:kern w:val="2"/>
                <w:szCs w:val="24"/>
                <w:lang w:val="it-IT" w:eastAsia="it-IT" w:bidi="ar-SA"/>
              </w:rPr>
            </w:pPr>
            <w:r>
              <w:rPr>
                <w:kern w:val="2"/>
                <w:szCs w:val="24"/>
                <w:lang w:val="it-IT" w:eastAsia="it-IT" w:bidi="ar-SA"/>
              </w:rPr>
            </w:r>
          </w:p>
        </w:tc>
        <w:tc>
          <w:tcPr>
            <w:tcW w:w="3180" w:type="dxa"/>
            <w:tcBorders>
              <w:top w:val="single" w:sz="8" w:space="0" w:color="808080"/>
              <w:start w:val="single" w:sz="8" w:space="0" w:color="808080"/>
              <w:bottom w:val="single" w:sz="8" w:space="0" w:color="808080"/>
              <w:end w:val="single" w:sz="8" w:space="0" w:color="808080"/>
            </w:tcBorders>
          </w:tcPr>
          <w:p>
            <w:pPr>
              <w:pStyle w:val="Normal"/>
              <w:widowControl/>
              <w:bidi w:val="0"/>
              <w:spacing w:lineRule="auto" w:line="259" w:before="0" w:after="0"/>
              <w:ind w:hanging="0" w:start="2" w:end="0"/>
              <w:jc w:val="start"/>
              <w:rPr>
                <w:b/>
                <w:i/>
                <w:i/>
                <w:kern w:val="2"/>
                <w:szCs w:val="24"/>
                <w:lang w:val="it-IT" w:eastAsia="it-IT" w:bidi="ar-SA"/>
              </w:rPr>
            </w:pPr>
            <w:r>
              <w:rPr>
                <w:b/>
                <w:i/>
                <w:kern w:val="2"/>
                <w:szCs w:val="24"/>
                <w:lang w:val="it-IT" w:eastAsia="it-IT" w:bidi="ar-SA"/>
              </w:rPr>
              <w:t>Tipologia di dato</w:t>
            </w:r>
          </w:p>
        </w:tc>
        <w:tc>
          <w:tcPr>
            <w:tcW w:w="4981" w:type="dxa"/>
            <w:tcBorders>
              <w:top w:val="single" w:sz="8" w:space="0" w:color="808080"/>
              <w:start w:val="single" w:sz="8" w:space="0" w:color="808080"/>
              <w:bottom w:val="single" w:sz="8" w:space="0" w:color="808080"/>
              <w:end w:val="single" w:sz="8" w:space="0" w:color="808080"/>
            </w:tcBorders>
          </w:tcPr>
          <w:p>
            <w:pPr>
              <w:pStyle w:val="Normal"/>
              <w:widowControl/>
              <w:bidi w:val="0"/>
              <w:spacing w:lineRule="auto" w:line="259" w:before="0" w:after="0"/>
              <w:ind w:hanging="0" w:start="2" w:end="0"/>
              <w:jc w:val="start"/>
              <w:rPr>
                <w:b/>
                <w:i/>
                <w:i/>
                <w:kern w:val="2"/>
                <w:szCs w:val="24"/>
                <w:lang w:val="it-IT" w:eastAsia="it-IT" w:bidi="ar-SA"/>
              </w:rPr>
            </w:pPr>
            <w:r>
              <w:rPr>
                <w:b/>
                <w:i/>
                <w:kern w:val="2"/>
                <w:szCs w:val="24"/>
                <w:lang w:val="it-IT" w:eastAsia="it-IT" w:bidi="ar-SA"/>
              </w:rPr>
              <w:t>Fonte dato</w:t>
            </w:r>
          </w:p>
        </w:tc>
      </w:tr>
      <w:tr>
        <w:trPr>
          <w:trHeight w:val="318" w:hRule="atLeast"/>
        </w:trPr>
        <w:tc>
          <w:tcPr>
            <w:tcW w:w="1639" w:type="dxa"/>
            <w:tcBorders>
              <w:top w:val="single" w:sz="8" w:space="0" w:color="808080"/>
              <w:start w:val="single" w:sz="8" w:space="0" w:color="808080"/>
              <w:bottom w:val="single" w:sz="8" w:space="0" w:color="808080"/>
              <w:end w:val="single" w:sz="8" w:space="0" w:color="808080"/>
            </w:tcBorders>
            <w:shd w:fill="FFF5CE" w:val="clear"/>
          </w:tcPr>
          <w:p>
            <w:pPr>
              <w:pStyle w:val="Normal"/>
              <w:widowControl/>
              <w:bidi w:val="0"/>
              <w:spacing w:lineRule="auto" w:line="259" w:before="0" w:after="160"/>
              <w:ind w:hanging="0" w:start="0" w:end="0"/>
              <w:jc w:val="start"/>
              <w:rPr>
                <w:kern w:val="2"/>
                <w:szCs w:val="24"/>
                <w:lang w:val="it-IT" w:eastAsia="it-IT" w:bidi="ar-SA"/>
              </w:rPr>
            </w:pPr>
            <w:r>
              <w:rPr>
                <w:kern w:val="2"/>
                <w:szCs w:val="24"/>
                <w:lang w:val="it-IT" w:eastAsia="it-IT" w:bidi="ar-SA"/>
              </w:rPr>
            </w:r>
          </w:p>
        </w:tc>
        <w:tc>
          <w:tcPr>
            <w:tcW w:w="3180" w:type="dxa"/>
            <w:tcBorders>
              <w:top w:val="single" w:sz="8" w:space="0" w:color="808080"/>
              <w:start w:val="single" w:sz="8" w:space="0" w:color="808080"/>
              <w:bottom w:val="single" w:sz="8" w:space="0" w:color="808080"/>
              <w:end w:val="single" w:sz="8" w:space="0" w:color="808080"/>
            </w:tcBorders>
            <w:shd w:fill="FFF5CE" w:val="clear"/>
          </w:tcPr>
          <w:p>
            <w:pPr>
              <w:pStyle w:val="Normal"/>
              <w:widowControl/>
              <w:bidi w:val="0"/>
              <w:spacing w:lineRule="auto" w:line="259" w:before="0" w:after="160"/>
              <w:ind w:hanging="0" w:start="0" w:end="0"/>
              <w:jc w:val="start"/>
              <w:rPr>
                <w:kern w:val="2"/>
                <w:szCs w:val="24"/>
                <w:lang w:val="it-IT" w:eastAsia="it-IT" w:bidi="ar-SA"/>
              </w:rPr>
            </w:pPr>
            <w:r>
              <w:rPr>
                <w:kern w:val="2"/>
                <w:szCs w:val="24"/>
                <w:lang w:val="it-IT" w:eastAsia="it-IT" w:bidi="ar-SA"/>
              </w:rPr>
            </w:r>
          </w:p>
        </w:tc>
        <w:tc>
          <w:tcPr>
            <w:tcW w:w="4981" w:type="dxa"/>
            <w:tcBorders>
              <w:top w:val="single" w:sz="8" w:space="0" w:color="808080"/>
              <w:start w:val="single" w:sz="8" w:space="0" w:color="808080"/>
              <w:bottom w:val="single" w:sz="8" w:space="0" w:color="808080"/>
              <w:end w:val="single" w:sz="8" w:space="0" w:color="808080"/>
            </w:tcBorders>
            <w:shd w:fill="FFF5CE" w:val="clear"/>
          </w:tcPr>
          <w:p>
            <w:pPr>
              <w:pStyle w:val="Normal"/>
              <w:widowControl/>
              <w:bidi w:val="0"/>
              <w:spacing w:lineRule="auto" w:line="259" w:before="0" w:after="160"/>
              <w:ind w:hanging="0" w:start="0" w:end="0"/>
              <w:jc w:val="start"/>
              <w:rPr>
                <w:kern w:val="2"/>
                <w:szCs w:val="24"/>
                <w:lang w:val="it-IT" w:eastAsia="it-IT" w:bidi="ar-SA"/>
              </w:rPr>
            </w:pPr>
            <w:r>
              <w:rPr>
                <w:kern w:val="2"/>
                <w:szCs w:val="24"/>
                <w:lang w:val="it-IT" w:eastAsia="it-IT" w:bidi="ar-SA"/>
              </w:rPr>
            </w:r>
          </w:p>
        </w:tc>
      </w:tr>
      <w:tr>
        <w:trPr>
          <w:trHeight w:val="769" w:hRule="atLeast"/>
        </w:trPr>
        <w:tc>
          <w:tcPr>
            <w:tcW w:w="1639" w:type="dxa"/>
            <w:vMerge w:val="restart"/>
            <w:tcBorders>
              <w:top w:val="single" w:sz="8" w:space="0" w:color="808080"/>
              <w:start w:val="single" w:sz="8" w:space="0" w:color="808080"/>
              <w:bottom w:val="single" w:sz="8" w:space="0" w:color="808080"/>
              <w:end w:val="single" w:sz="8" w:space="0" w:color="808080"/>
            </w:tcBorders>
            <w:vAlign w:val="center"/>
          </w:tcPr>
          <w:p>
            <w:pPr>
              <w:pStyle w:val="Normal"/>
              <w:widowControl/>
              <w:bidi w:val="0"/>
              <w:spacing w:lineRule="auto" w:line="259" w:before="0" w:after="0"/>
              <w:ind w:hanging="0" w:start="2" w:end="0"/>
              <w:jc w:val="start"/>
              <w:rPr>
                <w:b/>
                <w:i/>
                <w:i/>
                <w:kern w:val="2"/>
                <w:szCs w:val="24"/>
                <w:lang w:val="it-IT" w:eastAsia="it-IT" w:bidi="ar-SA"/>
              </w:rPr>
            </w:pPr>
            <w:r>
              <w:rPr>
                <w:b/>
                <w:i/>
                <w:kern w:val="2"/>
                <w:szCs w:val="24"/>
                <w:lang w:val="it-IT" w:eastAsia="it-IT" w:bidi="ar-SA"/>
              </w:rPr>
              <w:t>Serie storiche</w:t>
            </w:r>
          </w:p>
        </w:tc>
        <w:tc>
          <w:tcPr>
            <w:tcW w:w="3180" w:type="dxa"/>
            <w:tcBorders>
              <w:top w:val="single" w:sz="8" w:space="0" w:color="808080"/>
              <w:start w:val="single" w:sz="8" w:space="0" w:color="808080"/>
              <w:bottom w:val="single" w:sz="8" w:space="0" w:color="808080"/>
              <w:end w:val="single" w:sz="8" w:space="0" w:color="808080"/>
            </w:tcBorders>
            <w:vAlign w:val="center"/>
          </w:tcPr>
          <w:p>
            <w:pPr>
              <w:pStyle w:val="Normal"/>
              <w:widowControl/>
              <w:bidi w:val="0"/>
              <w:spacing w:lineRule="auto" w:line="259" w:before="0" w:after="0"/>
              <w:ind w:hanging="0" w:start="2" w:end="0"/>
              <w:jc w:val="start"/>
              <w:rPr>
                <w:kern w:val="2"/>
                <w:szCs w:val="24"/>
                <w:lang w:val="it-IT" w:eastAsia="it-IT" w:bidi="ar-SA"/>
              </w:rPr>
            </w:pPr>
            <w:r>
              <w:rPr>
                <w:kern w:val="2"/>
                <w:szCs w:val="24"/>
                <w:lang w:val="it-IT" w:eastAsia="it-IT" w:bidi="ar-SA"/>
              </w:rPr>
              <w:t>Tendenze serie climatiche regionali</w:t>
            </w:r>
          </w:p>
        </w:tc>
        <w:tc>
          <w:tcPr>
            <w:tcW w:w="4981" w:type="dxa"/>
            <w:tcBorders>
              <w:top w:val="single" w:sz="8" w:space="0" w:color="808080"/>
              <w:start w:val="single" w:sz="8" w:space="0" w:color="808080"/>
              <w:bottom w:val="single" w:sz="8" w:space="0" w:color="808080"/>
              <w:end w:val="single" w:sz="8" w:space="0" w:color="808080"/>
            </w:tcBorders>
          </w:tcPr>
          <w:p>
            <w:pPr>
              <w:pStyle w:val="Normal"/>
              <w:widowControl/>
              <w:bidi w:val="0"/>
              <w:spacing w:lineRule="auto" w:line="259" w:before="0" w:after="0"/>
              <w:ind w:hanging="0" w:start="2" w:end="0"/>
              <w:jc w:val="start"/>
              <w:rPr>
                <w:i/>
                <w:i/>
                <w:kern w:val="2"/>
                <w:szCs w:val="24"/>
                <w:lang w:val="it-IT" w:eastAsia="it-IT" w:bidi="ar-SA"/>
              </w:rPr>
            </w:pPr>
            <w:r>
              <w:rPr>
                <w:i/>
                <w:kern w:val="2"/>
                <w:szCs w:val="24"/>
                <w:lang w:val="it-IT" w:eastAsia="it-IT" w:bidi="ar-SA"/>
              </w:rPr>
              <w:t>Arpa Piemonte</w:t>
            </w:r>
          </w:p>
          <w:p>
            <w:pPr>
              <w:pStyle w:val="Normal"/>
              <w:widowControl/>
              <w:bidi w:val="0"/>
              <w:spacing w:lineRule="auto" w:line="259" w:before="0" w:after="0"/>
              <w:ind w:hanging="0" w:start="2" w:end="0"/>
              <w:jc w:val="start"/>
              <w:rPr>
                <w:kern w:val="2"/>
                <w:szCs w:val="24"/>
                <w:lang w:val="it-IT" w:eastAsia="it-IT" w:bidi="ar-SA"/>
              </w:rPr>
            </w:pPr>
            <w:r>
              <w:rPr>
                <w:kern w:val="2"/>
                <w:szCs w:val="24"/>
                <w:lang w:val="it-IT" w:eastAsia="it-IT" w:bidi="ar-SA"/>
              </w:rPr>
              <w:t>Il portale sul Clima in Piemonte</w:t>
            </w:r>
          </w:p>
          <w:p>
            <w:pPr>
              <w:pStyle w:val="Normal"/>
              <w:widowControl/>
              <w:bidi w:val="0"/>
              <w:spacing w:lineRule="auto" w:line="259" w:before="0" w:after="0"/>
              <w:ind w:hanging="0" w:start="2" w:end="0"/>
              <w:jc w:val="start"/>
              <w:rPr>
                <w:kern w:val="2"/>
                <w:szCs w:val="24"/>
                <w:lang w:val="it-IT" w:eastAsia="it-IT" w:bidi="ar-SA"/>
              </w:rPr>
            </w:pPr>
            <w:r>
              <w:rPr>
                <w:kern w:val="2"/>
                <w:szCs w:val="24"/>
                <w:lang w:val="it-IT" w:eastAsia="it-IT" w:bidi="ar-SA"/>
              </w:rPr>
              <w:t>“</w:t>
            </w:r>
            <w:r>
              <w:rPr>
                <w:kern w:val="2"/>
                <w:szCs w:val="24"/>
                <w:lang w:val="it-IT" w:eastAsia="it-IT" w:bidi="ar-SA"/>
              </w:rPr>
              <w:t>Analisi del Clima regionale del periodo 1981-2010”</w:t>
            </w:r>
          </w:p>
        </w:tc>
      </w:tr>
      <w:tr>
        <w:trPr>
          <w:trHeight w:val="996" w:hRule="atLeast"/>
        </w:trPr>
        <w:tc>
          <w:tcPr>
            <w:tcW w:w="1639" w:type="dxa"/>
            <w:vMerge w:val="continue"/>
            <w:tcBorders>
              <w:start w:val="single" w:sz="8" w:space="0" w:color="808080"/>
              <w:end w:val="single" w:sz="8" w:space="0" w:color="808080"/>
            </w:tcBorders>
          </w:tcPr>
          <w:p>
            <w:pPr>
              <w:pStyle w:val="Normal"/>
              <w:bidi w:val="0"/>
              <w:jc w:val="start"/>
              <w:rPr/>
            </w:pPr>
            <w:r>
              <w:rPr/>
            </w:r>
          </w:p>
        </w:tc>
        <w:tc>
          <w:tcPr>
            <w:tcW w:w="3180" w:type="dxa"/>
            <w:tcBorders>
              <w:top w:val="single" w:sz="8" w:space="0" w:color="808080"/>
              <w:start w:val="single" w:sz="8" w:space="0" w:color="808080"/>
              <w:bottom w:val="single" w:sz="8" w:space="0" w:color="808080"/>
              <w:end w:val="single" w:sz="8" w:space="0" w:color="808080"/>
            </w:tcBorders>
          </w:tcPr>
          <w:p>
            <w:pPr>
              <w:pStyle w:val="Normal"/>
              <w:widowControl/>
              <w:bidi w:val="0"/>
              <w:spacing w:lineRule="auto" w:line="259" w:before="0" w:after="0"/>
              <w:ind w:hanging="0" w:start="2" w:end="0"/>
              <w:jc w:val="start"/>
              <w:rPr>
                <w:kern w:val="2"/>
                <w:szCs w:val="24"/>
                <w:lang w:val="it-IT" w:eastAsia="it-IT" w:bidi="ar-SA"/>
              </w:rPr>
            </w:pPr>
            <w:r>
              <w:rPr>
                <w:kern w:val="2"/>
                <w:szCs w:val="24"/>
                <w:lang w:val="it-IT" w:eastAsia="it-IT" w:bidi="ar-SA"/>
              </w:rPr>
              <w:t>Serie storiche locali dalle stazioni meteo disponibili con una lunghezza della serie idonea e continua</w:t>
            </w:r>
          </w:p>
        </w:tc>
        <w:tc>
          <w:tcPr>
            <w:tcW w:w="4981" w:type="dxa"/>
            <w:tcBorders>
              <w:top w:val="single" w:sz="8" w:space="0" w:color="808080"/>
              <w:start w:val="single" w:sz="8" w:space="0" w:color="808080"/>
              <w:bottom w:val="single" w:sz="8" w:space="0" w:color="808080"/>
              <w:end w:val="single" w:sz="8" w:space="0" w:color="808080"/>
            </w:tcBorders>
          </w:tcPr>
          <w:p>
            <w:pPr>
              <w:pStyle w:val="Normal"/>
              <w:widowControl/>
              <w:bidi w:val="0"/>
              <w:spacing w:lineRule="auto" w:line="259" w:before="0" w:after="0"/>
              <w:ind w:hanging="0" w:start="2" w:end="0"/>
              <w:jc w:val="start"/>
              <w:rPr>
                <w:i/>
                <w:i/>
                <w:kern w:val="2"/>
                <w:szCs w:val="24"/>
                <w:lang w:val="it-IT" w:eastAsia="it-IT" w:bidi="ar-SA"/>
              </w:rPr>
            </w:pPr>
            <w:r>
              <w:rPr>
                <w:i/>
                <w:kern w:val="2"/>
                <w:szCs w:val="24"/>
                <w:lang w:val="it-IT" w:eastAsia="it-IT" w:bidi="ar-SA"/>
              </w:rPr>
              <w:t xml:space="preserve">Arpa Piemonte </w:t>
            </w:r>
          </w:p>
        </w:tc>
      </w:tr>
      <w:tr>
        <w:trPr>
          <w:trHeight w:val="1004" w:hRule="atLeast"/>
        </w:trPr>
        <w:tc>
          <w:tcPr>
            <w:tcW w:w="1639" w:type="dxa"/>
            <w:vMerge w:val="continue"/>
            <w:tcBorders>
              <w:start w:val="single" w:sz="8" w:space="0" w:color="808080"/>
              <w:bottom w:val="single" w:sz="8" w:space="0" w:color="808080"/>
              <w:end w:val="single" w:sz="8" w:space="0" w:color="808080"/>
            </w:tcBorders>
          </w:tcPr>
          <w:p>
            <w:pPr>
              <w:pStyle w:val="Normal"/>
              <w:bidi w:val="0"/>
              <w:jc w:val="start"/>
              <w:rPr/>
            </w:pPr>
            <w:r>
              <w:rPr/>
            </w:r>
          </w:p>
        </w:tc>
        <w:tc>
          <w:tcPr>
            <w:tcW w:w="3180" w:type="dxa"/>
            <w:tcBorders>
              <w:top w:val="single" w:sz="8" w:space="0" w:color="808080"/>
              <w:start w:val="single" w:sz="8" w:space="0" w:color="808080"/>
              <w:bottom w:val="single" w:sz="8" w:space="0" w:color="808080"/>
              <w:end w:val="single" w:sz="8" w:space="0" w:color="808080"/>
            </w:tcBorders>
          </w:tcPr>
          <w:p>
            <w:pPr>
              <w:pStyle w:val="Normal"/>
              <w:widowControl/>
              <w:tabs>
                <w:tab w:val="clear" w:pos="709"/>
                <w:tab w:val="center" w:pos="659" w:leader="none"/>
                <w:tab w:val="center" w:pos="983" w:leader="none"/>
                <w:tab w:val="center" w:pos="1251" w:leader="none"/>
                <w:tab w:val="center" w:pos="2037" w:leader="none"/>
                <w:tab w:val="center" w:pos="2765" w:leader="none"/>
                <w:tab w:val="right" w:pos="3122" w:leader="none"/>
              </w:tabs>
              <w:bidi w:val="0"/>
              <w:spacing w:lineRule="auto" w:line="259" w:before="0" w:after="0"/>
              <w:ind w:hanging="0" w:start="0" w:end="0"/>
              <w:jc w:val="start"/>
              <w:rPr>
                <w:kern w:val="2"/>
                <w:szCs w:val="24"/>
                <w:lang w:val="it-IT" w:eastAsia="it-IT" w:bidi="ar-SA"/>
              </w:rPr>
            </w:pPr>
            <w:r>
              <w:rPr>
                <w:kern w:val="2"/>
                <w:szCs w:val="24"/>
                <w:lang w:val="it-IT" w:eastAsia="it-IT" w:bidi="ar-SA"/>
              </w:rPr>
              <w:t>Indici</w:t>
              <w:tab/>
              <w:t xml:space="preserve"> </w:t>
              <w:tab/>
              <w:t>di</w:t>
              <w:tab/>
              <w:t xml:space="preserve"> </w:t>
              <w:tab/>
              <w:t>temperatura</w:t>
              <w:tab/>
              <w:t xml:space="preserve"> </w:t>
              <w:tab/>
              <w:t>e</w:t>
            </w:r>
          </w:p>
          <w:p>
            <w:pPr>
              <w:pStyle w:val="Normal"/>
              <w:widowControl/>
              <w:bidi w:val="0"/>
              <w:spacing w:lineRule="auto" w:line="259" w:before="0" w:after="0"/>
              <w:ind w:hanging="0" w:start="2" w:end="0"/>
              <w:jc w:val="start"/>
              <w:rPr>
                <w:kern w:val="2"/>
                <w:szCs w:val="24"/>
                <w:lang w:val="it-IT" w:eastAsia="it-IT" w:bidi="ar-SA"/>
              </w:rPr>
            </w:pPr>
            <w:r>
              <w:rPr>
                <w:kern w:val="2"/>
                <w:szCs w:val="24"/>
                <w:lang w:val="it-IT" w:eastAsia="it-IT" w:bidi="ar-SA"/>
              </w:rPr>
              <w:t>precipitazione</w:t>
            </w:r>
          </w:p>
        </w:tc>
        <w:tc>
          <w:tcPr>
            <w:tcW w:w="4981" w:type="dxa"/>
            <w:tcBorders>
              <w:top w:val="single" w:sz="8" w:space="0" w:color="808080"/>
              <w:start w:val="single" w:sz="8" w:space="0" w:color="808080"/>
              <w:bottom w:val="single" w:sz="8" w:space="0" w:color="808080"/>
              <w:end w:val="single" w:sz="8" w:space="0" w:color="808080"/>
            </w:tcBorders>
          </w:tcPr>
          <w:p>
            <w:pPr>
              <w:pStyle w:val="Normal"/>
              <w:widowControl/>
              <w:bidi w:val="0"/>
              <w:spacing w:lineRule="auto" w:line="259" w:before="0" w:after="102"/>
              <w:ind w:hanging="0" w:start="2" w:end="0"/>
              <w:jc w:val="start"/>
              <w:rPr>
                <w:kern w:val="2"/>
                <w:szCs w:val="24"/>
                <w:lang w:val="it-IT" w:eastAsia="it-IT" w:bidi="ar-SA"/>
              </w:rPr>
            </w:pPr>
            <w:r>
              <w:rPr>
                <w:i/>
                <w:kern w:val="2"/>
                <w:szCs w:val="24"/>
                <w:lang w:val="it-IT" w:eastAsia="it-IT" w:bidi="ar-SA"/>
              </w:rPr>
              <w:t xml:space="preserve">Arpa Piemonte - </w:t>
            </w:r>
            <w:r>
              <w:rPr>
                <w:kern w:val="2"/>
                <w:szCs w:val="24"/>
                <w:lang w:val="it-IT" w:eastAsia="it-IT" w:bidi="ar-SA"/>
              </w:rPr>
              <w:t>Il portale sul Clima in Piemonte</w:t>
            </w:r>
          </w:p>
          <w:p>
            <w:pPr>
              <w:pStyle w:val="Normal"/>
              <w:widowControl/>
              <w:bidi w:val="0"/>
              <w:spacing w:lineRule="auto" w:line="259" w:before="0" w:after="0"/>
              <w:ind w:hanging="0" w:start="2" w:end="0"/>
              <w:jc w:val="start"/>
              <w:rPr>
                <w:kern w:val="2"/>
                <w:szCs w:val="24"/>
                <w:lang w:val="it-IT" w:eastAsia="it-IT" w:bidi="ar-SA"/>
              </w:rPr>
            </w:pPr>
            <w:r>
              <w:rPr>
                <w:i/>
                <w:kern w:val="2"/>
                <w:szCs w:val="24"/>
                <w:lang w:val="it-IT" w:eastAsia="it-IT" w:bidi="ar-SA"/>
              </w:rPr>
              <w:t>ISPRA</w:t>
            </w:r>
            <w:r>
              <w:rPr>
                <w:kern w:val="2"/>
                <w:szCs w:val="24"/>
                <w:lang w:val="it-IT" w:eastAsia="it-IT" w:bidi="ar-SA"/>
              </w:rPr>
              <w:t xml:space="preserve"> - Gli indicatori del Clima ISPRA (pubblicazione aggiornata annualmente)</w:t>
            </w:r>
          </w:p>
        </w:tc>
      </w:tr>
      <w:tr>
        <w:trPr>
          <w:trHeight w:val="317" w:hRule="atLeast"/>
        </w:trPr>
        <w:tc>
          <w:tcPr>
            <w:tcW w:w="1639" w:type="dxa"/>
            <w:tcBorders>
              <w:top w:val="single" w:sz="8" w:space="0" w:color="808080"/>
              <w:start w:val="single" w:sz="8" w:space="0" w:color="808080"/>
              <w:bottom w:val="single" w:sz="8" w:space="0" w:color="808080"/>
              <w:end w:val="single" w:sz="8" w:space="0" w:color="808080"/>
            </w:tcBorders>
            <w:shd w:fill="FFF5CE" w:val="clear"/>
          </w:tcPr>
          <w:p>
            <w:pPr>
              <w:pStyle w:val="Normal"/>
              <w:widowControl/>
              <w:bidi w:val="0"/>
              <w:spacing w:lineRule="auto" w:line="259" w:before="0" w:after="160"/>
              <w:ind w:hanging="0" w:start="0" w:end="0"/>
              <w:jc w:val="start"/>
              <w:rPr>
                <w:kern w:val="2"/>
                <w:szCs w:val="24"/>
                <w:lang w:val="it-IT" w:eastAsia="it-IT" w:bidi="ar-SA"/>
              </w:rPr>
            </w:pPr>
            <w:r>
              <w:rPr>
                <w:kern w:val="2"/>
                <w:szCs w:val="24"/>
                <w:lang w:val="it-IT" w:eastAsia="it-IT" w:bidi="ar-SA"/>
              </w:rPr>
            </w:r>
          </w:p>
        </w:tc>
        <w:tc>
          <w:tcPr>
            <w:tcW w:w="3180" w:type="dxa"/>
            <w:tcBorders>
              <w:top w:val="single" w:sz="8" w:space="0" w:color="808080"/>
              <w:start w:val="single" w:sz="8" w:space="0" w:color="808080"/>
              <w:bottom w:val="single" w:sz="8" w:space="0" w:color="808080"/>
              <w:end w:val="single" w:sz="8" w:space="0" w:color="808080"/>
            </w:tcBorders>
            <w:shd w:fill="FFF5CE" w:val="clear"/>
          </w:tcPr>
          <w:p>
            <w:pPr>
              <w:pStyle w:val="Normal"/>
              <w:widowControl/>
              <w:bidi w:val="0"/>
              <w:spacing w:lineRule="auto" w:line="259" w:before="0" w:after="160"/>
              <w:ind w:hanging="0" w:start="0" w:end="0"/>
              <w:jc w:val="start"/>
              <w:rPr>
                <w:kern w:val="2"/>
                <w:szCs w:val="24"/>
                <w:lang w:val="it-IT" w:eastAsia="it-IT" w:bidi="ar-SA"/>
              </w:rPr>
            </w:pPr>
            <w:r>
              <w:rPr>
                <w:kern w:val="2"/>
                <w:szCs w:val="24"/>
                <w:lang w:val="it-IT" w:eastAsia="it-IT" w:bidi="ar-SA"/>
              </w:rPr>
            </w:r>
          </w:p>
        </w:tc>
        <w:tc>
          <w:tcPr>
            <w:tcW w:w="4981" w:type="dxa"/>
            <w:tcBorders>
              <w:top w:val="single" w:sz="8" w:space="0" w:color="808080"/>
              <w:start w:val="single" w:sz="8" w:space="0" w:color="808080"/>
              <w:bottom w:val="single" w:sz="8" w:space="0" w:color="808080"/>
              <w:end w:val="single" w:sz="8" w:space="0" w:color="808080"/>
            </w:tcBorders>
            <w:shd w:fill="FFF5CE" w:val="clear"/>
          </w:tcPr>
          <w:p>
            <w:pPr>
              <w:pStyle w:val="Normal"/>
              <w:widowControl/>
              <w:bidi w:val="0"/>
              <w:spacing w:lineRule="auto" w:line="259" w:before="0" w:after="160"/>
              <w:ind w:hanging="0" w:start="0" w:end="0"/>
              <w:jc w:val="start"/>
              <w:rPr>
                <w:kern w:val="2"/>
                <w:szCs w:val="24"/>
                <w:lang w:val="it-IT" w:eastAsia="it-IT" w:bidi="ar-SA"/>
              </w:rPr>
            </w:pPr>
            <w:r>
              <w:rPr>
                <w:kern w:val="2"/>
                <w:szCs w:val="24"/>
                <w:lang w:val="it-IT" w:eastAsia="it-IT" w:bidi="ar-SA"/>
              </w:rPr>
            </w:r>
          </w:p>
        </w:tc>
      </w:tr>
      <w:tr>
        <w:trPr>
          <w:trHeight w:val="779" w:hRule="atLeast"/>
        </w:trPr>
        <w:tc>
          <w:tcPr>
            <w:tcW w:w="1639" w:type="dxa"/>
            <w:vMerge w:val="restart"/>
            <w:tcBorders>
              <w:top w:val="single" w:sz="8" w:space="0" w:color="808080"/>
              <w:start w:val="single" w:sz="8" w:space="0" w:color="808080"/>
              <w:bottom w:val="single" w:sz="8" w:space="0" w:color="808080"/>
              <w:end w:val="single" w:sz="8" w:space="0" w:color="808080"/>
            </w:tcBorders>
            <w:vAlign w:val="center"/>
          </w:tcPr>
          <w:p>
            <w:pPr>
              <w:pStyle w:val="Normal"/>
              <w:widowControl/>
              <w:bidi w:val="0"/>
              <w:spacing w:lineRule="auto" w:line="259" w:before="0" w:after="0"/>
              <w:ind w:hanging="0" w:start="2" w:end="0"/>
              <w:jc w:val="start"/>
              <w:rPr>
                <w:b/>
                <w:i/>
                <w:i/>
                <w:kern w:val="2"/>
                <w:szCs w:val="24"/>
                <w:lang w:val="it-IT" w:eastAsia="it-IT" w:bidi="ar-SA"/>
              </w:rPr>
            </w:pPr>
            <w:r>
              <w:rPr>
                <w:b/>
                <w:i/>
                <w:kern w:val="2"/>
                <w:szCs w:val="24"/>
                <w:lang w:val="it-IT" w:eastAsia="it-IT" w:bidi="ar-SA"/>
              </w:rPr>
              <w:t>Scenari climatici</w:t>
            </w:r>
          </w:p>
        </w:tc>
        <w:tc>
          <w:tcPr>
            <w:tcW w:w="3180" w:type="dxa"/>
            <w:tcBorders>
              <w:top w:val="single" w:sz="8" w:space="0" w:color="808080"/>
              <w:start w:val="single" w:sz="8" w:space="0" w:color="808080"/>
              <w:bottom w:val="single" w:sz="8" w:space="0" w:color="808080"/>
              <w:end w:val="single" w:sz="8" w:space="0" w:color="808080"/>
            </w:tcBorders>
          </w:tcPr>
          <w:p>
            <w:pPr>
              <w:pStyle w:val="Normal"/>
              <w:widowControl/>
              <w:bidi w:val="0"/>
              <w:spacing w:lineRule="auto" w:line="259" w:before="0" w:after="0"/>
              <w:ind w:hanging="0" w:start="2" w:end="0"/>
              <w:jc w:val="start"/>
              <w:rPr>
                <w:kern w:val="2"/>
                <w:szCs w:val="24"/>
                <w:lang w:val="it-IT" w:eastAsia="it-IT" w:bidi="ar-SA"/>
              </w:rPr>
            </w:pPr>
            <w:r>
              <w:rPr>
                <w:kern w:val="2"/>
                <w:szCs w:val="24"/>
                <w:lang w:val="it-IT" w:eastAsia="it-IT" w:bidi="ar-SA"/>
              </w:rPr>
              <w:t>Proiezioni climatiche regionali</w:t>
            </w:r>
          </w:p>
        </w:tc>
        <w:tc>
          <w:tcPr>
            <w:tcW w:w="4981" w:type="dxa"/>
            <w:tcBorders>
              <w:top w:val="single" w:sz="8" w:space="0" w:color="808080"/>
              <w:start w:val="single" w:sz="8" w:space="0" w:color="808080"/>
              <w:bottom w:val="single" w:sz="8" w:space="0" w:color="808080"/>
              <w:end w:val="single" w:sz="8" w:space="0" w:color="808080"/>
            </w:tcBorders>
          </w:tcPr>
          <w:p>
            <w:pPr>
              <w:pStyle w:val="Normal"/>
              <w:widowControl/>
              <w:bidi w:val="0"/>
              <w:spacing w:lineRule="auto" w:line="259" w:before="0" w:after="102"/>
              <w:ind w:hanging="0" w:start="2" w:end="0"/>
              <w:jc w:val="start"/>
              <w:rPr>
                <w:kern w:val="2"/>
                <w:szCs w:val="24"/>
                <w:lang w:val="it-IT" w:eastAsia="it-IT" w:bidi="ar-SA"/>
              </w:rPr>
            </w:pPr>
            <w:r>
              <w:rPr>
                <w:kern w:val="2"/>
                <w:szCs w:val="24"/>
                <w:lang w:val="it-IT" w:eastAsia="it-IT" w:bidi="ar-SA"/>
              </w:rPr>
              <w:t xml:space="preserve">Arpa Piemonte – il Portale sul Clima in Piemonte </w:t>
            </w:r>
          </w:p>
          <w:p>
            <w:pPr>
              <w:pStyle w:val="Normal"/>
              <w:widowControl/>
              <w:bidi w:val="0"/>
              <w:spacing w:lineRule="auto" w:line="259" w:before="0" w:after="0"/>
              <w:ind w:hanging="0" w:start="2" w:end="0"/>
              <w:jc w:val="start"/>
              <w:rPr>
                <w:kern w:val="2"/>
                <w:szCs w:val="24"/>
                <w:lang w:val="it-IT" w:eastAsia="it-IT" w:bidi="ar-SA"/>
              </w:rPr>
            </w:pPr>
            <w:hyperlink r:id="rId6">
              <w:r>
                <w:rPr>
                  <w:rStyle w:val="Style8"/>
                  <w:color w:val="000080"/>
                  <w:kern w:val="2"/>
                  <w:szCs w:val="24"/>
                  <w:u w:val="single" w:color="000080"/>
                  <w:lang w:val="it-IT" w:eastAsia="it-IT" w:bidi="ar-SA"/>
                </w:rPr>
                <w:t>“</w:t>
              </w:r>
              <w:r>
                <w:rPr>
                  <w:rStyle w:val="Style8"/>
                  <w:color w:val="000080"/>
                  <w:kern w:val="2"/>
                  <w:szCs w:val="24"/>
                  <w:u w:val="single" w:color="000080"/>
                  <w:lang w:val="it-IT" w:eastAsia="it-IT" w:bidi="ar-SA"/>
                </w:rPr>
                <w:t>Analisi degli scenari di clima regionale 2011-2100”</w:t>
              </w:r>
            </w:hyperlink>
          </w:p>
        </w:tc>
      </w:tr>
      <w:tr>
        <w:trPr>
          <w:trHeight w:val="612" w:hRule="atLeast"/>
        </w:trPr>
        <w:tc>
          <w:tcPr>
            <w:tcW w:w="1639" w:type="dxa"/>
            <w:vMerge w:val="continue"/>
            <w:tcBorders>
              <w:start w:val="single" w:sz="8" w:space="0" w:color="808080"/>
              <w:bottom w:val="single" w:sz="8" w:space="0" w:color="808080"/>
              <w:end w:val="single" w:sz="8" w:space="0" w:color="808080"/>
            </w:tcBorders>
          </w:tcPr>
          <w:p>
            <w:pPr>
              <w:pStyle w:val="Normal"/>
              <w:bidi w:val="0"/>
              <w:jc w:val="start"/>
              <w:rPr/>
            </w:pPr>
            <w:r>
              <w:rPr/>
            </w:r>
          </w:p>
        </w:tc>
        <w:tc>
          <w:tcPr>
            <w:tcW w:w="3180" w:type="dxa"/>
            <w:tcBorders>
              <w:top w:val="single" w:sz="8" w:space="0" w:color="808080"/>
              <w:start w:val="single" w:sz="8" w:space="0" w:color="808080"/>
              <w:bottom w:val="single" w:sz="8" w:space="0" w:color="808080"/>
              <w:end w:val="single" w:sz="8" w:space="0" w:color="808080"/>
            </w:tcBorders>
          </w:tcPr>
          <w:p>
            <w:pPr>
              <w:pStyle w:val="Normal"/>
              <w:widowControl/>
              <w:bidi w:val="0"/>
              <w:spacing w:lineRule="auto" w:line="259" w:before="0" w:after="0"/>
              <w:ind w:hanging="0" w:start="2" w:end="0"/>
              <w:jc w:val="start"/>
              <w:rPr>
                <w:kern w:val="2"/>
                <w:szCs w:val="24"/>
                <w:lang w:val="it-IT" w:eastAsia="it-IT" w:bidi="ar-SA"/>
              </w:rPr>
            </w:pPr>
            <w:r>
              <w:rPr>
                <w:kern w:val="2"/>
                <w:szCs w:val="24"/>
                <w:lang w:val="it-IT" w:eastAsia="it-IT" w:bidi="ar-SA"/>
              </w:rPr>
              <w:t xml:space="preserve">Proiezioni climatiche nazionali </w:t>
            </w:r>
          </w:p>
        </w:tc>
        <w:tc>
          <w:tcPr>
            <w:tcW w:w="4981" w:type="dxa"/>
            <w:tcBorders>
              <w:top w:val="single" w:sz="8" w:space="0" w:color="808080"/>
              <w:start w:val="single" w:sz="8" w:space="0" w:color="808080"/>
              <w:bottom w:val="single" w:sz="8" w:space="0" w:color="808080"/>
              <w:end w:val="single" w:sz="8" w:space="0" w:color="808080"/>
            </w:tcBorders>
          </w:tcPr>
          <w:p>
            <w:pPr>
              <w:pStyle w:val="Normal"/>
              <w:widowControl/>
              <w:bidi w:val="0"/>
              <w:spacing w:lineRule="auto" w:line="259" w:before="0" w:after="16"/>
              <w:ind w:hanging="0" w:start="2" w:end="0"/>
              <w:jc w:val="start"/>
              <w:rPr>
                <w:kern w:val="2"/>
                <w:szCs w:val="24"/>
                <w:lang w:val="it-IT" w:eastAsia="it-IT" w:bidi="ar-SA"/>
              </w:rPr>
            </w:pPr>
            <w:hyperlink r:id="rId7">
              <w:r>
                <w:rPr>
                  <w:rStyle w:val="Style8"/>
                  <w:color w:val="000080"/>
                  <w:kern w:val="2"/>
                  <w:szCs w:val="24"/>
                  <w:u w:val="single" w:color="000080"/>
                  <w:lang w:val="it-IT" w:eastAsia="it-IT" w:bidi="ar-SA"/>
                </w:rPr>
                <w:t>Piattaforma Nazionale Adattamento Cambiamenti</w:t>
              </w:r>
            </w:hyperlink>
          </w:p>
          <w:p>
            <w:pPr>
              <w:pStyle w:val="Normal"/>
              <w:widowControl/>
              <w:bidi w:val="0"/>
              <w:spacing w:lineRule="auto" w:line="259" w:before="0" w:after="0"/>
              <w:ind w:hanging="0" w:start="2" w:end="0"/>
              <w:jc w:val="start"/>
              <w:rPr>
                <w:kern w:val="2"/>
                <w:szCs w:val="24"/>
                <w:lang w:val="it-IT" w:eastAsia="it-IT" w:bidi="ar-SA"/>
              </w:rPr>
            </w:pPr>
            <w:hyperlink r:id="rId8">
              <w:r>
                <w:rPr>
                  <w:rStyle w:val="Style8"/>
                  <w:color w:val="000080"/>
                  <w:kern w:val="2"/>
                  <w:szCs w:val="24"/>
                  <w:u w:val="single" w:color="000080"/>
                  <w:lang w:val="it-IT" w:eastAsia="it-IT" w:bidi="ar-SA"/>
                </w:rPr>
                <w:t>Climatici</w:t>
              </w:r>
            </w:hyperlink>
          </w:p>
        </w:tc>
      </w:tr>
      <w:tr>
        <w:trPr>
          <w:trHeight w:val="1666" w:hRule="atLeast"/>
        </w:trPr>
        <w:tc>
          <w:tcPr>
            <w:tcW w:w="1639" w:type="dxa"/>
            <w:vMerge w:val="restart"/>
            <w:tcBorders>
              <w:top w:val="single" w:sz="8" w:space="0" w:color="808080"/>
              <w:start w:val="single" w:sz="8" w:space="0" w:color="808080"/>
              <w:bottom w:val="single" w:sz="8" w:space="0" w:color="808080"/>
              <w:end w:val="single" w:sz="8" w:space="0" w:color="808080"/>
            </w:tcBorders>
            <w:vAlign w:val="center"/>
          </w:tcPr>
          <w:p>
            <w:pPr>
              <w:pStyle w:val="Normal"/>
              <w:widowControl/>
              <w:bidi w:val="0"/>
              <w:spacing w:lineRule="auto" w:line="259" w:before="0" w:after="0"/>
              <w:ind w:hanging="0" w:start="2" w:end="0"/>
              <w:jc w:val="start"/>
              <w:rPr>
                <w:kern w:val="2"/>
                <w:szCs w:val="24"/>
                <w:lang w:val="it-IT" w:eastAsia="it-IT" w:bidi="ar-SA"/>
              </w:rPr>
            </w:pPr>
            <w:r>
              <w:rPr>
                <w:b/>
                <w:i/>
                <w:kern w:val="2"/>
                <w:szCs w:val="24"/>
                <w:lang w:val="it-IT" w:eastAsia="it-IT" w:bidi="ar-SA"/>
              </w:rPr>
              <w:t>Scenari di rischio</w:t>
            </w:r>
            <w:r>
              <w:rPr>
                <w:kern w:val="2"/>
                <w:szCs w:val="24"/>
                <w:lang w:val="it-IT" w:eastAsia="it-IT" w:bidi="ar-SA"/>
              </w:rPr>
              <w:t xml:space="preserve"> </w:t>
            </w:r>
          </w:p>
        </w:tc>
        <w:tc>
          <w:tcPr>
            <w:tcW w:w="3180" w:type="dxa"/>
            <w:tcBorders>
              <w:top w:val="single" w:sz="8" w:space="0" w:color="808080"/>
              <w:start w:val="single" w:sz="8" w:space="0" w:color="808080"/>
              <w:bottom w:val="single" w:sz="8" w:space="0" w:color="808080"/>
              <w:end w:val="single" w:sz="8" w:space="0" w:color="808080"/>
            </w:tcBorders>
          </w:tcPr>
          <w:p>
            <w:pPr>
              <w:pStyle w:val="Normal"/>
              <w:widowControl/>
              <w:bidi w:val="0"/>
              <w:spacing w:lineRule="auto" w:line="276" w:before="0" w:after="0"/>
              <w:ind w:hanging="0" w:start="2" w:end="0"/>
              <w:jc w:val="start"/>
              <w:rPr>
                <w:kern w:val="2"/>
                <w:szCs w:val="24"/>
                <w:lang w:val="it-IT" w:eastAsia="it-IT" w:bidi="ar-SA"/>
              </w:rPr>
            </w:pPr>
            <w:r>
              <w:rPr>
                <w:kern w:val="2"/>
                <w:szCs w:val="24"/>
                <w:lang w:val="it-IT" w:eastAsia="it-IT" w:bidi="ar-SA"/>
              </w:rPr>
              <w:t>Difesa del suolo i dati e le mappe relative alla difesa del suolo (PAI, PGRA-Piano di Gestione del Rischio alluvioni, ecc.), all’ambiente e alla protezione civile</w:t>
            </w:r>
            <w:r>
              <w:rPr>
                <w:b/>
                <w:kern w:val="2"/>
                <w:szCs w:val="24"/>
                <w:lang w:val="it-IT" w:eastAsia="it-IT" w:bidi="ar-SA"/>
              </w:rPr>
              <w:t xml:space="preserve"> </w:t>
            </w:r>
          </w:p>
        </w:tc>
        <w:tc>
          <w:tcPr>
            <w:tcW w:w="4981" w:type="dxa"/>
            <w:tcBorders>
              <w:top w:val="single" w:sz="8" w:space="0" w:color="808080"/>
              <w:start w:val="single" w:sz="8" w:space="0" w:color="808080"/>
              <w:bottom w:val="single" w:sz="8" w:space="0" w:color="808080"/>
              <w:end w:val="single" w:sz="8" w:space="0" w:color="808080"/>
            </w:tcBorders>
            <w:vAlign w:val="center"/>
          </w:tcPr>
          <w:p>
            <w:pPr>
              <w:pStyle w:val="Normal"/>
              <w:widowControl/>
              <w:bidi w:val="0"/>
              <w:spacing w:lineRule="auto" w:line="259" w:before="0" w:after="0"/>
              <w:ind w:firstLine="2" w:start="0" w:end="1789"/>
              <w:jc w:val="start"/>
              <w:rPr>
                <w:kern w:val="2"/>
                <w:szCs w:val="24"/>
                <w:lang w:val="it-IT" w:eastAsia="it-IT" w:bidi="ar-SA"/>
              </w:rPr>
            </w:pPr>
            <w:r>
              <w:rPr>
                <w:kern w:val="2"/>
                <w:szCs w:val="24"/>
                <w:lang w:val="it-IT" w:eastAsia="it-IT" w:bidi="ar-SA"/>
              </w:rPr>
              <w:t xml:space="preserve">Regione Piemonte </w:t>
            </w:r>
            <w:hyperlink r:id="rId9">
              <w:r>
                <w:rPr>
                  <w:rStyle w:val="Style8"/>
                  <w:color w:val="000080"/>
                  <w:kern w:val="2"/>
                  <w:szCs w:val="24"/>
                  <w:u w:val="single" w:color="000080"/>
                  <w:lang w:val="it-IT" w:eastAsia="it-IT" w:bidi="ar-SA"/>
                </w:rPr>
                <w:t xml:space="preserve"> </w:t>
              </w:r>
            </w:hyperlink>
            <w:hyperlink r:id="rId10">
              <w:r>
                <w:rPr>
                  <w:rStyle w:val="Style8"/>
                  <w:color w:val="000080"/>
                  <w:kern w:val="2"/>
                  <w:szCs w:val="24"/>
                  <w:u w:val="single" w:color="000080"/>
                  <w:lang w:val="it-IT" w:eastAsia="it-IT" w:bidi="ar-SA"/>
                </w:rPr>
                <w:t>GEOPIEMONTE</w:t>
              </w:r>
            </w:hyperlink>
            <w:hyperlink r:id="rId11">
              <w:r>
                <w:rPr>
                  <w:rStyle w:val="Style8"/>
                  <w:color w:val="000080"/>
                  <w:kern w:val="2"/>
                  <w:szCs w:val="24"/>
                  <w:u w:val="single" w:color="000080"/>
                  <w:lang w:val="it-IT" w:eastAsia="it-IT" w:bidi="ar-SA"/>
                </w:rPr>
                <w:t xml:space="preserve">  </w:t>
              </w:r>
            </w:hyperlink>
            <w:r>
              <w:rPr>
                <w:color w:val="000080"/>
                <w:kern w:val="2"/>
                <w:szCs w:val="24"/>
                <w:u w:val="single" w:color="000080"/>
                <w:lang w:val="it-IT" w:eastAsia="it-IT" w:bidi="ar-SA"/>
              </w:rPr>
              <w:t xml:space="preserve"> .</w:t>
            </w:r>
          </w:p>
        </w:tc>
      </w:tr>
      <w:tr>
        <w:trPr>
          <w:trHeight w:val="1402" w:hRule="atLeast"/>
        </w:trPr>
        <w:tc>
          <w:tcPr>
            <w:tcW w:w="1639" w:type="dxa"/>
            <w:vMerge w:val="continue"/>
            <w:tcBorders>
              <w:start w:val="single" w:sz="8" w:space="0" w:color="808080"/>
              <w:end w:val="single" w:sz="8" w:space="0" w:color="808080"/>
            </w:tcBorders>
          </w:tcPr>
          <w:p>
            <w:pPr>
              <w:pStyle w:val="Normal"/>
              <w:bidi w:val="0"/>
              <w:jc w:val="start"/>
              <w:rPr/>
            </w:pPr>
            <w:r>
              <w:rPr/>
            </w:r>
          </w:p>
        </w:tc>
        <w:tc>
          <w:tcPr>
            <w:tcW w:w="3180" w:type="dxa"/>
            <w:tcBorders>
              <w:top w:val="single" w:sz="8" w:space="0" w:color="808080"/>
              <w:start w:val="single" w:sz="8" w:space="0" w:color="808080"/>
              <w:bottom w:val="single" w:sz="8" w:space="0" w:color="808080"/>
              <w:end w:val="single" w:sz="8" w:space="0" w:color="808080"/>
            </w:tcBorders>
            <w:vAlign w:val="center"/>
          </w:tcPr>
          <w:p>
            <w:pPr>
              <w:pStyle w:val="Normal"/>
              <w:widowControl/>
              <w:bidi w:val="0"/>
              <w:spacing w:lineRule="auto" w:line="259" w:before="0" w:after="0"/>
              <w:ind w:hanging="0" w:start="2" w:end="0"/>
              <w:jc w:val="start"/>
              <w:rPr>
                <w:kern w:val="2"/>
                <w:szCs w:val="24"/>
                <w:lang w:val="it-IT" w:eastAsia="it-IT" w:bidi="ar-SA"/>
              </w:rPr>
            </w:pPr>
            <w:r>
              <w:rPr>
                <w:kern w:val="2"/>
                <w:szCs w:val="24"/>
                <w:lang w:val="it-IT" w:eastAsia="it-IT" w:bidi="ar-SA"/>
              </w:rPr>
              <w:t xml:space="preserve">Scenari di rischio EU </w:t>
            </w:r>
          </w:p>
        </w:tc>
        <w:tc>
          <w:tcPr>
            <w:tcW w:w="4981" w:type="dxa"/>
            <w:tcBorders>
              <w:top w:val="single" w:sz="8" w:space="0" w:color="808080"/>
              <w:start w:val="single" w:sz="8" w:space="0" w:color="808080"/>
              <w:bottom w:val="single" w:sz="8" w:space="0" w:color="808080"/>
              <w:end w:val="single" w:sz="8" w:space="0" w:color="808080"/>
            </w:tcBorders>
          </w:tcPr>
          <w:p>
            <w:pPr>
              <w:pStyle w:val="Normal"/>
              <w:widowControl/>
              <w:bidi w:val="0"/>
              <w:spacing w:lineRule="auto" w:line="240" w:before="0" w:after="120"/>
              <w:ind w:hanging="0" w:start="2" w:end="0"/>
              <w:jc w:val="start"/>
              <w:rPr>
                <w:kern w:val="2"/>
                <w:szCs w:val="24"/>
                <w:lang w:val="it-IT" w:eastAsia="it-IT" w:bidi="ar-SA"/>
              </w:rPr>
            </w:pPr>
            <w:r>
              <w:rPr>
                <w:kern w:val="2"/>
                <w:szCs w:val="24"/>
                <w:lang w:val="it-IT" w:eastAsia="it-IT" w:bidi="ar-SA"/>
              </w:rPr>
              <w:t>Climate-ADAPT (piattaforma europea di adattamento al clima)</w:t>
            </w:r>
          </w:p>
          <w:p>
            <w:pPr>
              <w:pStyle w:val="Normal"/>
              <w:widowControl/>
              <w:bidi w:val="0"/>
              <w:spacing w:lineRule="auto" w:line="259" w:before="0" w:after="0"/>
              <w:ind w:hanging="0" w:start="0" w:end="0"/>
              <w:jc w:val="start"/>
              <w:rPr>
                <w:kern w:val="2"/>
                <w:szCs w:val="24"/>
                <w:lang w:val="it-IT" w:eastAsia="it-IT" w:bidi="ar-SA"/>
              </w:rPr>
            </w:pPr>
            <w:hyperlink r:id="rId12">
              <w:r>
                <w:rPr>
                  <w:rStyle w:val="Style8"/>
                  <w:color w:val="000080"/>
                  <w:kern w:val="2"/>
                  <w:szCs w:val="24"/>
                  <w:u w:val="single" w:color="000080"/>
                  <w:lang w:val="it-IT" w:eastAsia="it-IT" w:bidi="ar-SA"/>
                </w:rPr>
                <w:t xml:space="preserve"> </w:t>
              </w:r>
            </w:hyperlink>
            <w:hyperlink r:id="rId13">
              <w:r>
                <w:rPr>
                  <w:rStyle w:val="Style8"/>
                  <w:color w:val="000080"/>
                  <w:kern w:val="2"/>
                  <w:szCs w:val="24"/>
                  <w:u w:val="single" w:color="000080"/>
                  <w:lang w:val="it-IT" w:eastAsia="it-IT" w:bidi="ar-SA"/>
                </w:rPr>
                <w:t>I</w:t>
              </w:r>
            </w:hyperlink>
            <w:hyperlink r:id="rId14">
              <w:r>
                <w:rPr>
                  <w:rStyle w:val="Style8"/>
                  <w:color w:val="000080"/>
                  <w:kern w:val="2"/>
                  <w:szCs w:val="24"/>
                  <w:u w:val="single" w:color="000080"/>
                  <w:lang w:val="it-IT" w:eastAsia="it-IT" w:bidi="ar-SA"/>
                </w:rPr>
                <w:t>mpatti, rischi e vulnerabilità</w:t>
              </w:r>
            </w:hyperlink>
            <w:hyperlink r:id="rId15">
              <w:r>
                <w:rPr>
                  <w:rStyle w:val="Style8"/>
                  <w:color w:val="000080"/>
                  <w:kern w:val="2"/>
                  <w:szCs w:val="24"/>
                  <w:u w:val="single" w:color="000080"/>
                  <w:lang w:val="it-IT" w:eastAsia="it-IT" w:bidi="ar-SA"/>
                </w:rPr>
                <w:t xml:space="preserve"> </w:t>
              </w:r>
            </w:hyperlink>
          </w:p>
        </w:tc>
      </w:tr>
      <w:tr>
        <w:trPr>
          <w:trHeight w:val="1132" w:hRule="atLeast"/>
        </w:trPr>
        <w:tc>
          <w:tcPr>
            <w:tcW w:w="1639" w:type="dxa"/>
            <w:vMerge w:val="continue"/>
            <w:tcBorders>
              <w:start w:val="single" w:sz="8" w:space="0" w:color="808080"/>
              <w:end w:val="single" w:sz="8" w:space="0" w:color="808080"/>
            </w:tcBorders>
          </w:tcPr>
          <w:p>
            <w:pPr>
              <w:pStyle w:val="Normal"/>
              <w:bidi w:val="0"/>
              <w:jc w:val="start"/>
              <w:rPr/>
            </w:pPr>
            <w:r>
              <w:rPr/>
            </w:r>
          </w:p>
        </w:tc>
        <w:tc>
          <w:tcPr>
            <w:tcW w:w="3180" w:type="dxa"/>
            <w:vMerge w:val="restart"/>
            <w:tcBorders>
              <w:top w:val="single" w:sz="8" w:space="0" w:color="808080"/>
              <w:start w:val="single" w:sz="8" w:space="0" w:color="808080"/>
              <w:bottom w:val="single" w:sz="8" w:space="0" w:color="808080"/>
              <w:end w:val="single" w:sz="8" w:space="0" w:color="808080"/>
            </w:tcBorders>
            <w:vAlign w:val="center"/>
          </w:tcPr>
          <w:p>
            <w:pPr>
              <w:pStyle w:val="Normal"/>
              <w:widowControl/>
              <w:bidi w:val="0"/>
              <w:spacing w:lineRule="auto" w:line="259" w:before="0" w:after="0"/>
              <w:ind w:hanging="0" w:start="2" w:end="0"/>
              <w:jc w:val="start"/>
              <w:rPr>
                <w:kern w:val="2"/>
                <w:szCs w:val="24"/>
                <w:lang w:val="it-IT" w:eastAsia="it-IT" w:bidi="ar-SA"/>
              </w:rPr>
            </w:pPr>
            <w:r>
              <w:rPr>
                <w:kern w:val="2"/>
                <w:szCs w:val="24"/>
                <w:lang w:val="it-IT" w:eastAsia="it-IT" w:bidi="ar-SA"/>
              </w:rPr>
              <w:t xml:space="preserve">Scenari di rischio in Italia </w:t>
            </w:r>
          </w:p>
        </w:tc>
        <w:tc>
          <w:tcPr>
            <w:tcW w:w="4981" w:type="dxa"/>
            <w:tcBorders>
              <w:top w:val="single" w:sz="8" w:space="0" w:color="808080"/>
              <w:start w:val="single" w:sz="8" w:space="0" w:color="808080"/>
              <w:bottom w:val="single" w:sz="8" w:space="0" w:color="808080"/>
              <w:end w:val="single" w:sz="8" w:space="0" w:color="808080"/>
            </w:tcBorders>
          </w:tcPr>
          <w:p>
            <w:pPr>
              <w:pStyle w:val="Normal"/>
              <w:widowControl/>
              <w:bidi w:val="0"/>
              <w:spacing w:lineRule="auto" w:line="259" w:before="0" w:after="16"/>
              <w:ind w:hanging="0" w:start="2" w:end="0"/>
              <w:jc w:val="start"/>
              <w:rPr>
                <w:kern w:val="2"/>
                <w:szCs w:val="24"/>
                <w:lang w:val="it-IT" w:eastAsia="it-IT" w:bidi="ar-SA"/>
              </w:rPr>
            </w:pPr>
            <w:r>
              <w:rPr>
                <w:kern w:val="2"/>
                <w:szCs w:val="24"/>
                <w:lang w:val="it-IT" w:eastAsia="it-IT" w:bidi="ar-SA"/>
              </w:rPr>
              <w:t xml:space="preserve">Centro Euro-Mediterraneo sui Cambiamenti Climatici </w:t>
            </w:r>
          </w:p>
          <w:p>
            <w:pPr>
              <w:pStyle w:val="Normal"/>
              <w:widowControl/>
              <w:bidi w:val="0"/>
              <w:spacing w:lineRule="auto" w:line="259" w:before="0" w:after="16"/>
              <w:ind w:hanging="0" w:start="2" w:end="0"/>
              <w:jc w:val="start"/>
              <w:rPr>
                <w:kern w:val="2"/>
                <w:szCs w:val="24"/>
                <w:lang w:val="it-IT" w:eastAsia="it-IT" w:bidi="ar-SA"/>
              </w:rPr>
            </w:pPr>
            <w:r>
              <w:rPr>
                <w:kern w:val="2"/>
                <w:szCs w:val="24"/>
                <w:lang w:val="it-IT" w:eastAsia="it-IT" w:bidi="ar-SA"/>
              </w:rPr>
              <w:t xml:space="preserve">(CMCC) </w:t>
            </w:r>
          </w:p>
          <w:p>
            <w:pPr>
              <w:pStyle w:val="Normal"/>
              <w:widowControl/>
              <w:bidi w:val="0"/>
              <w:spacing w:lineRule="auto" w:line="259" w:before="0" w:after="0"/>
              <w:ind w:hanging="0" w:start="2" w:end="0"/>
              <w:jc w:val="start"/>
              <w:rPr>
                <w:kern w:val="2"/>
                <w:szCs w:val="24"/>
                <w:lang w:val="it-IT" w:eastAsia="it-IT" w:bidi="ar-SA"/>
              </w:rPr>
            </w:pPr>
            <w:hyperlink r:id="rId16">
              <w:r>
                <w:rPr>
                  <w:rStyle w:val="Style8"/>
                  <w:color w:val="000080"/>
                  <w:kern w:val="2"/>
                  <w:szCs w:val="24"/>
                  <w:u w:val="single" w:color="000080"/>
                  <w:lang w:val="it-IT" w:eastAsia="it-IT" w:bidi="ar-SA"/>
                </w:rPr>
                <w:t>ANALISI DEL RISCHIO. I cambiamenti climatici in italia</w:t>
              </w:r>
            </w:hyperlink>
          </w:p>
        </w:tc>
      </w:tr>
      <w:tr>
        <w:trPr>
          <w:trHeight w:val="612" w:hRule="atLeast"/>
        </w:trPr>
        <w:tc>
          <w:tcPr>
            <w:tcW w:w="1639" w:type="dxa"/>
            <w:vMerge w:val="continue"/>
            <w:tcBorders>
              <w:start w:val="single" w:sz="8" w:space="0" w:color="808080"/>
              <w:bottom w:val="single" w:sz="8" w:space="0" w:color="808080"/>
              <w:end w:val="single" w:sz="8" w:space="0" w:color="808080"/>
            </w:tcBorders>
          </w:tcPr>
          <w:p>
            <w:pPr>
              <w:pStyle w:val="Normal"/>
              <w:bidi w:val="0"/>
              <w:jc w:val="start"/>
              <w:rPr/>
            </w:pPr>
            <w:r>
              <w:rPr/>
            </w:r>
          </w:p>
        </w:tc>
        <w:tc>
          <w:tcPr>
            <w:tcW w:w="3180" w:type="dxa"/>
            <w:vMerge w:val="continue"/>
            <w:tcBorders>
              <w:start w:val="single" w:sz="8" w:space="0" w:color="808080"/>
              <w:bottom w:val="single" w:sz="8" w:space="0" w:color="808080"/>
              <w:end w:val="single" w:sz="8" w:space="0" w:color="808080"/>
            </w:tcBorders>
          </w:tcPr>
          <w:p>
            <w:pPr>
              <w:pStyle w:val="Normal"/>
              <w:bidi w:val="0"/>
              <w:jc w:val="start"/>
              <w:rPr/>
            </w:pPr>
            <w:r>
              <w:rPr/>
            </w:r>
          </w:p>
        </w:tc>
        <w:tc>
          <w:tcPr>
            <w:tcW w:w="4981" w:type="dxa"/>
            <w:tcBorders>
              <w:top w:val="single" w:sz="8" w:space="0" w:color="808080"/>
              <w:start w:val="single" w:sz="8" w:space="0" w:color="808080"/>
              <w:bottom w:val="single" w:sz="8" w:space="0" w:color="808080"/>
              <w:end w:val="single" w:sz="8" w:space="0" w:color="808080"/>
            </w:tcBorders>
          </w:tcPr>
          <w:p>
            <w:pPr>
              <w:pStyle w:val="Normal"/>
              <w:widowControl/>
              <w:bidi w:val="0"/>
              <w:spacing w:lineRule="auto" w:line="259" w:before="0" w:after="0"/>
              <w:ind w:hanging="0" w:start="2" w:end="0"/>
              <w:jc w:val="start"/>
              <w:rPr>
                <w:kern w:val="2"/>
                <w:szCs w:val="24"/>
                <w:lang w:val="it-IT" w:eastAsia="it-IT" w:bidi="ar-SA"/>
              </w:rPr>
            </w:pPr>
            <w:hyperlink r:id="rId17">
              <w:r>
                <w:rPr>
                  <w:rStyle w:val="Style8"/>
                  <w:color w:val="000080"/>
                  <w:kern w:val="2"/>
                  <w:szCs w:val="24"/>
                  <w:u w:val="single" w:color="000080"/>
                  <w:lang w:val="it-IT" w:eastAsia="it-IT" w:bidi="ar-SA"/>
                </w:rPr>
                <w:t xml:space="preserve">Piattaforma Nazionale Adattamento Cambiamenti </w:t>
              </w:r>
            </w:hyperlink>
            <w:hyperlink r:id="rId18">
              <w:r>
                <w:rPr>
                  <w:rStyle w:val="Style8"/>
                  <w:color w:val="000080"/>
                  <w:kern w:val="2"/>
                  <w:szCs w:val="24"/>
                  <w:u w:val="single" w:color="000080"/>
                  <w:lang w:val="it-IT" w:eastAsia="it-IT" w:bidi="ar-SA"/>
                </w:rPr>
                <w:t>Climatici</w:t>
              </w:r>
            </w:hyperlink>
          </w:p>
        </w:tc>
      </w:tr>
    </w:tbl>
    <w:p>
      <w:pPr>
        <w:pStyle w:val="Normal"/>
        <w:bidi w:val="0"/>
        <w:ind w:hanging="10" w:start="247" w:end="426"/>
        <w:jc w:val="start"/>
        <w:rPr/>
      </w:pPr>
      <w:r>
        <w:rPr/>
        <w:t xml:space="preserve">A supporto della valutazione sono inoltre riferimenti pertinenti </w:t>
      </w:r>
      <w:r>
        <w:rPr>
          <w:b/>
        </w:rPr>
        <w:t>i piani di adattamento locali</w:t>
      </w:r>
      <w:r>
        <w:rPr/>
        <w:t xml:space="preserve"> se disponibili. </w:t>
      </w:r>
    </w:p>
    <w:p>
      <w:pPr>
        <w:pStyle w:val="Normal"/>
        <w:bidi w:val="0"/>
        <w:ind w:hanging="10" w:start="247" w:end="426"/>
        <w:jc w:val="start"/>
        <w:rPr/>
      </w:pPr>
      <w:r>
        <w:rPr/>
      </w:r>
    </w:p>
    <w:p>
      <w:pPr>
        <w:pStyle w:val="Normal"/>
        <w:bidi w:val="0"/>
        <w:ind w:hanging="10" w:start="247" w:end="426"/>
        <w:jc w:val="start"/>
        <w:rPr/>
      </w:pPr>
      <w:r>
        <w:rPr/>
      </w:r>
    </w:p>
    <w:p>
      <w:pPr>
        <w:pStyle w:val="Normal"/>
        <w:bidi w:val="0"/>
        <w:ind w:hanging="0" w:start="0" w:end="426"/>
        <w:jc w:val="start"/>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Calibri">
    <w:charset w:val="00" w:characterSet="windows-1252"/>
    <w:family w:val="swiss"/>
    <w:pitch w:val="variable"/>
  </w:font>
  <w:font w:name="Cambria Math">
    <w:charset w:val="00" w:characterSet="windows-1252"/>
    <w:family w:val="roman"/>
    <w:pitch w:val="variable"/>
  </w:font>
  <w:font w:name="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363" w:hanging="0"/>
      </w:pPr>
      <w:rPr>
        <w:rFonts w:ascii="Arial" w:hAnsi="Arial" w:cs="Arial" w:hint="default"/>
        <w:dstrike w:val="false"/>
        <w:strike w:val="false"/>
        <w:vertAlign w:val="baseline"/>
        <w:position w:val="0"/>
        <w:sz w:val="20"/>
        <w:sz w:val="20"/>
        <w:i w:val="false"/>
        <w:u w:val="none"/>
        <w:b w:val="false"/>
        <w:shd w:fill="auto" w:val="clear"/>
        <w:szCs w:val="20"/>
        <w:color w:val="000000"/>
      </w:rPr>
    </w:lvl>
    <w:lvl w:ilvl="1">
      <w:start w:val="1"/>
      <w:numFmt w:val="bullet"/>
      <w:lvlText w:val="o"/>
      <w:lvlJc w:val="start"/>
      <w:pPr>
        <w:tabs>
          <w:tab w:val="num" w:pos="0"/>
        </w:tabs>
        <w:ind w:start="1080" w:hanging="0"/>
      </w:pPr>
      <w:rPr>
        <w:rFonts w:ascii="Arial" w:hAnsi="Arial" w:cs="Arial" w:hint="default"/>
        <w:dstrike w:val="false"/>
        <w:strike w:val="false"/>
        <w:vertAlign w:val="baseline"/>
        <w:position w:val="0"/>
        <w:sz w:val="20"/>
        <w:sz w:val="20"/>
        <w:i w:val="false"/>
        <w:u w:val="none"/>
        <w:b w:val="false"/>
        <w:shd w:fill="auto" w:val="clear"/>
        <w:szCs w:val="20"/>
        <w:color w:val="000000"/>
      </w:rPr>
    </w:lvl>
    <w:lvl w:ilvl="2">
      <w:start w:val="1"/>
      <w:numFmt w:val="bullet"/>
      <w:lvlText w:val="▪"/>
      <w:lvlJc w:val="start"/>
      <w:pPr>
        <w:tabs>
          <w:tab w:val="num" w:pos="0"/>
        </w:tabs>
        <w:ind w:start="1800" w:hanging="0"/>
      </w:pPr>
      <w:rPr>
        <w:rFonts w:ascii="Arial" w:hAnsi="Arial" w:cs="Arial" w:hint="default"/>
        <w:dstrike w:val="false"/>
        <w:strike w:val="false"/>
        <w:vertAlign w:val="baseline"/>
        <w:position w:val="0"/>
        <w:sz w:val="20"/>
        <w:sz w:val="20"/>
        <w:i w:val="false"/>
        <w:u w:val="none"/>
        <w:b w:val="false"/>
        <w:shd w:fill="auto" w:val="clear"/>
        <w:szCs w:val="20"/>
        <w:color w:val="000000"/>
      </w:rPr>
    </w:lvl>
    <w:lvl w:ilvl="3">
      <w:start w:val="1"/>
      <w:numFmt w:val="bullet"/>
      <w:lvlText w:val="•"/>
      <w:lvlJc w:val="start"/>
      <w:pPr>
        <w:tabs>
          <w:tab w:val="num" w:pos="0"/>
        </w:tabs>
        <w:ind w:start="2520" w:hanging="0"/>
      </w:pPr>
      <w:rPr>
        <w:rFonts w:ascii="Arial" w:hAnsi="Arial" w:cs="Arial" w:hint="default"/>
        <w:dstrike w:val="false"/>
        <w:strike w:val="false"/>
        <w:vertAlign w:val="baseline"/>
        <w:position w:val="0"/>
        <w:sz w:val="20"/>
        <w:sz w:val="20"/>
        <w:i w:val="false"/>
        <w:u w:val="none"/>
        <w:b w:val="false"/>
        <w:shd w:fill="auto" w:val="clear"/>
        <w:szCs w:val="20"/>
        <w:color w:val="000000"/>
      </w:rPr>
    </w:lvl>
    <w:lvl w:ilvl="4">
      <w:start w:val="1"/>
      <w:numFmt w:val="bullet"/>
      <w:lvlText w:val="o"/>
      <w:lvlJc w:val="start"/>
      <w:pPr>
        <w:tabs>
          <w:tab w:val="num" w:pos="0"/>
        </w:tabs>
        <w:ind w:start="3240" w:hanging="0"/>
      </w:pPr>
      <w:rPr>
        <w:rFonts w:ascii="Arial" w:hAnsi="Arial" w:cs="Arial" w:hint="default"/>
        <w:dstrike w:val="false"/>
        <w:strike w:val="false"/>
        <w:vertAlign w:val="baseline"/>
        <w:position w:val="0"/>
        <w:sz w:val="20"/>
        <w:sz w:val="20"/>
        <w:i w:val="false"/>
        <w:u w:val="none"/>
        <w:b w:val="false"/>
        <w:shd w:fill="auto" w:val="clear"/>
        <w:szCs w:val="20"/>
        <w:color w:val="000000"/>
      </w:rPr>
    </w:lvl>
    <w:lvl w:ilvl="5">
      <w:start w:val="1"/>
      <w:numFmt w:val="bullet"/>
      <w:lvlText w:val="▪"/>
      <w:lvlJc w:val="start"/>
      <w:pPr>
        <w:tabs>
          <w:tab w:val="num" w:pos="0"/>
        </w:tabs>
        <w:ind w:start="3960" w:hanging="0"/>
      </w:pPr>
      <w:rPr>
        <w:rFonts w:ascii="Arial" w:hAnsi="Arial" w:cs="Arial" w:hint="default"/>
        <w:dstrike w:val="false"/>
        <w:strike w:val="false"/>
        <w:vertAlign w:val="baseline"/>
        <w:position w:val="0"/>
        <w:sz w:val="20"/>
        <w:sz w:val="20"/>
        <w:i w:val="false"/>
        <w:u w:val="none"/>
        <w:b w:val="false"/>
        <w:shd w:fill="auto" w:val="clear"/>
        <w:szCs w:val="20"/>
        <w:color w:val="000000"/>
      </w:rPr>
    </w:lvl>
    <w:lvl w:ilvl="6">
      <w:start w:val="1"/>
      <w:numFmt w:val="bullet"/>
      <w:lvlText w:val="•"/>
      <w:lvlJc w:val="start"/>
      <w:pPr>
        <w:tabs>
          <w:tab w:val="num" w:pos="0"/>
        </w:tabs>
        <w:ind w:start="4680" w:hanging="0"/>
      </w:pPr>
      <w:rPr>
        <w:rFonts w:ascii="Arial" w:hAnsi="Arial" w:cs="Arial" w:hint="default"/>
        <w:dstrike w:val="false"/>
        <w:strike w:val="false"/>
        <w:vertAlign w:val="baseline"/>
        <w:position w:val="0"/>
        <w:sz w:val="20"/>
        <w:sz w:val="20"/>
        <w:i w:val="false"/>
        <w:u w:val="none"/>
        <w:b w:val="false"/>
        <w:shd w:fill="auto" w:val="clear"/>
        <w:szCs w:val="20"/>
        <w:color w:val="000000"/>
      </w:rPr>
    </w:lvl>
    <w:lvl w:ilvl="7">
      <w:start w:val="1"/>
      <w:numFmt w:val="bullet"/>
      <w:lvlText w:val="o"/>
      <w:lvlJc w:val="start"/>
      <w:pPr>
        <w:tabs>
          <w:tab w:val="num" w:pos="0"/>
        </w:tabs>
        <w:ind w:start="5400" w:hanging="0"/>
      </w:pPr>
      <w:rPr>
        <w:rFonts w:ascii="Arial" w:hAnsi="Arial" w:cs="Arial" w:hint="default"/>
        <w:dstrike w:val="false"/>
        <w:strike w:val="false"/>
        <w:vertAlign w:val="baseline"/>
        <w:position w:val="0"/>
        <w:sz w:val="20"/>
        <w:sz w:val="20"/>
        <w:i w:val="false"/>
        <w:u w:val="none"/>
        <w:b w:val="false"/>
        <w:shd w:fill="auto" w:val="clear"/>
        <w:szCs w:val="20"/>
        <w:color w:val="000000"/>
      </w:rPr>
    </w:lvl>
    <w:lvl w:ilvl="8">
      <w:start w:val="1"/>
      <w:numFmt w:val="bullet"/>
      <w:lvlText w:val="▪"/>
      <w:lvlJc w:val="start"/>
      <w:pPr>
        <w:tabs>
          <w:tab w:val="num" w:pos="0"/>
        </w:tabs>
        <w:ind w:start="6120" w:hanging="0"/>
      </w:pPr>
      <w:rPr>
        <w:rFonts w:ascii="Arial" w:hAnsi="Arial" w:cs="Arial" w:hint="default"/>
        <w:dstrike w:val="false"/>
        <w:strike w:val="false"/>
        <w:vertAlign w:val="baseline"/>
        <w:position w:val="0"/>
        <w:sz w:val="20"/>
        <w:sz w:val="20"/>
        <w:i w:val="false"/>
        <w:u w:val="none"/>
        <w:b w:val="false"/>
        <w:shd w:fill="auto" w:val="clear"/>
        <w:szCs w:val="20"/>
        <w:color w:val="000000"/>
      </w:rPr>
    </w:lvl>
  </w:abstractNum>
  <w:abstractNum w:abstractNumId="2">
    <w:lvl w:ilvl="0">
      <w:start w:val="1"/>
      <w:numFmt w:val="decimal"/>
      <w:lvlText w:val="%1)"/>
      <w:lvlJc w:val="start"/>
      <w:pPr>
        <w:tabs>
          <w:tab w:val="num" w:pos="0"/>
        </w:tabs>
        <w:ind w:start="247"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1">
      <w:start w:val="1"/>
      <w:numFmt w:val="lowerLetter"/>
      <w:lvlText w:val="%2"/>
      <w:lvlJc w:val="start"/>
      <w:pPr>
        <w:tabs>
          <w:tab w:val="num" w:pos="0"/>
        </w:tabs>
        <w:ind w:start="1080"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2">
      <w:start w:val="1"/>
      <w:numFmt w:val="lowerRoman"/>
      <w:lvlText w:val="%3"/>
      <w:lvlJc w:val="start"/>
      <w:pPr>
        <w:tabs>
          <w:tab w:val="num" w:pos="0"/>
        </w:tabs>
        <w:ind w:start="1800"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3">
      <w:start w:val="1"/>
      <w:numFmt w:val="decimal"/>
      <w:lvlText w:val="%4"/>
      <w:lvlJc w:val="start"/>
      <w:pPr>
        <w:tabs>
          <w:tab w:val="num" w:pos="0"/>
        </w:tabs>
        <w:ind w:start="2520"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4">
      <w:start w:val="1"/>
      <w:numFmt w:val="lowerLetter"/>
      <w:lvlText w:val="%5"/>
      <w:lvlJc w:val="start"/>
      <w:pPr>
        <w:tabs>
          <w:tab w:val="num" w:pos="0"/>
        </w:tabs>
        <w:ind w:start="3240"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5">
      <w:start w:val="1"/>
      <w:numFmt w:val="lowerRoman"/>
      <w:lvlText w:val="%6"/>
      <w:lvlJc w:val="start"/>
      <w:pPr>
        <w:tabs>
          <w:tab w:val="num" w:pos="0"/>
        </w:tabs>
        <w:ind w:start="3960"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6">
      <w:start w:val="1"/>
      <w:numFmt w:val="decimal"/>
      <w:lvlText w:val="%7"/>
      <w:lvlJc w:val="start"/>
      <w:pPr>
        <w:tabs>
          <w:tab w:val="num" w:pos="0"/>
        </w:tabs>
        <w:ind w:start="4680"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7">
      <w:start w:val="1"/>
      <w:numFmt w:val="lowerLetter"/>
      <w:lvlText w:val="%8"/>
      <w:lvlJc w:val="start"/>
      <w:pPr>
        <w:tabs>
          <w:tab w:val="num" w:pos="0"/>
        </w:tabs>
        <w:ind w:start="5400"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8">
      <w:start w:val="1"/>
      <w:numFmt w:val="lowerRoman"/>
      <w:lvlText w:val="%9"/>
      <w:lvlJc w:val="start"/>
      <w:pPr>
        <w:tabs>
          <w:tab w:val="num" w:pos="0"/>
        </w:tabs>
        <w:ind w:start="6120"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abstractNum>
  <w:abstractNum w:abstractNumId="3">
    <w:lvl w:ilvl="0">
      <w:start w:val="1"/>
      <w:numFmt w:val="upperLetter"/>
      <w:lvlText w:val="%1)"/>
      <w:lvlJc w:val="start"/>
      <w:pPr>
        <w:tabs>
          <w:tab w:val="num" w:pos="0"/>
        </w:tabs>
        <w:ind w:start="247"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1">
      <w:start w:val="1"/>
      <w:numFmt w:val="lowerLetter"/>
      <w:lvlText w:val="%2"/>
      <w:lvlJc w:val="start"/>
      <w:pPr>
        <w:tabs>
          <w:tab w:val="num" w:pos="0"/>
        </w:tabs>
        <w:ind w:start="1080"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2">
      <w:start w:val="1"/>
      <w:numFmt w:val="lowerRoman"/>
      <w:lvlText w:val="%3"/>
      <w:lvlJc w:val="start"/>
      <w:pPr>
        <w:tabs>
          <w:tab w:val="num" w:pos="0"/>
        </w:tabs>
        <w:ind w:start="1800"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3">
      <w:start w:val="1"/>
      <w:numFmt w:val="decimal"/>
      <w:lvlText w:val="%4"/>
      <w:lvlJc w:val="start"/>
      <w:pPr>
        <w:tabs>
          <w:tab w:val="num" w:pos="0"/>
        </w:tabs>
        <w:ind w:start="2520"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4">
      <w:start w:val="1"/>
      <w:numFmt w:val="lowerLetter"/>
      <w:lvlText w:val="%5"/>
      <w:lvlJc w:val="start"/>
      <w:pPr>
        <w:tabs>
          <w:tab w:val="num" w:pos="0"/>
        </w:tabs>
        <w:ind w:start="3240"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5">
      <w:start w:val="1"/>
      <w:numFmt w:val="lowerRoman"/>
      <w:lvlText w:val="%6"/>
      <w:lvlJc w:val="start"/>
      <w:pPr>
        <w:tabs>
          <w:tab w:val="num" w:pos="0"/>
        </w:tabs>
        <w:ind w:start="3960"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6">
      <w:start w:val="1"/>
      <w:numFmt w:val="decimal"/>
      <w:lvlText w:val="%7"/>
      <w:lvlJc w:val="start"/>
      <w:pPr>
        <w:tabs>
          <w:tab w:val="num" w:pos="0"/>
        </w:tabs>
        <w:ind w:start="4680"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7">
      <w:start w:val="1"/>
      <w:numFmt w:val="lowerLetter"/>
      <w:lvlText w:val="%8"/>
      <w:lvlJc w:val="start"/>
      <w:pPr>
        <w:tabs>
          <w:tab w:val="num" w:pos="0"/>
        </w:tabs>
        <w:ind w:start="5400"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8">
      <w:start w:val="1"/>
      <w:numFmt w:val="lowerRoman"/>
      <w:lvlText w:val="%9"/>
      <w:lvlJc w:val="start"/>
      <w:pPr>
        <w:tabs>
          <w:tab w:val="num" w:pos="0"/>
        </w:tabs>
        <w:ind w:start="6120"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abstractNum>
  <w:abstractNum w:abstractNumId="4">
    <w:lvl w:ilvl="0">
      <w:start w:val="2"/>
      <w:numFmt w:val="lowerLetter"/>
      <w:lvlText w:val="%1)"/>
      <w:lvlJc w:val="start"/>
      <w:pPr>
        <w:tabs>
          <w:tab w:val="num" w:pos="0"/>
        </w:tabs>
        <w:ind w:start="232"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1">
      <w:start w:val="1"/>
      <w:numFmt w:val="lowerLetter"/>
      <w:lvlText w:val="%2"/>
      <w:lvlJc w:val="start"/>
      <w:pPr>
        <w:tabs>
          <w:tab w:val="num" w:pos="0"/>
        </w:tabs>
        <w:ind w:start="1138"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2">
      <w:start w:val="1"/>
      <w:numFmt w:val="lowerRoman"/>
      <w:lvlText w:val="%3"/>
      <w:lvlJc w:val="start"/>
      <w:pPr>
        <w:tabs>
          <w:tab w:val="num" w:pos="0"/>
        </w:tabs>
        <w:ind w:start="1858"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3">
      <w:start w:val="1"/>
      <w:numFmt w:val="decimal"/>
      <w:lvlText w:val="%4"/>
      <w:lvlJc w:val="start"/>
      <w:pPr>
        <w:tabs>
          <w:tab w:val="num" w:pos="0"/>
        </w:tabs>
        <w:ind w:start="2578"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4">
      <w:start w:val="1"/>
      <w:numFmt w:val="lowerLetter"/>
      <w:lvlText w:val="%5"/>
      <w:lvlJc w:val="start"/>
      <w:pPr>
        <w:tabs>
          <w:tab w:val="num" w:pos="0"/>
        </w:tabs>
        <w:ind w:start="3298"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5">
      <w:start w:val="1"/>
      <w:numFmt w:val="lowerRoman"/>
      <w:lvlText w:val="%6"/>
      <w:lvlJc w:val="start"/>
      <w:pPr>
        <w:tabs>
          <w:tab w:val="num" w:pos="0"/>
        </w:tabs>
        <w:ind w:start="4018"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6">
      <w:start w:val="1"/>
      <w:numFmt w:val="decimal"/>
      <w:lvlText w:val="%7"/>
      <w:lvlJc w:val="start"/>
      <w:pPr>
        <w:tabs>
          <w:tab w:val="num" w:pos="0"/>
        </w:tabs>
        <w:ind w:start="4738"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7">
      <w:start w:val="1"/>
      <w:numFmt w:val="lowerLetter"/>
      <w:lvlText w:val="%8"/>
      <w:lvlJc w:val="start"/>
      <w:pPr>
        <w:tabs>
          <w:tab w:val="num" w:pos="0"/>
        </w:tabs>
        <w:ind w:start="5458"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8">
      <w:start w:val="1"/>
      <w:numFmt w:val="lowerRoman"/>
      <w:lvlText w:val="%9"/>
      <w:lvlJc w:val="start"/>
      <w:pPr>
        <w:tabs>
          <w:tab w:val="num" w:pos="0"/>
        </w:tabs>
        <w:ind w:start="6178"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abstractNum>
  <w:abstractNum w:abstractNumId="5">
    <w:lvl w:ilvl="0">
      <w:start w:val="1"/>
      <w:numFmt w:val="lowerLetter"/>
      <w:lvlText w:val="%1)"/>
      <w:lvlJc w:val="start"/>
      <w:pPr>
        <w:tabs>
          <w:tab w:val="num" w:pos="0"/>
        </w:tabs>
        <w:ind w:start="0"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1">
      <w:start w:val="1"/>
      <w:numFmt w:val="lowerLetter"/>
      <w:lvlText w:val="%2"/>
      <w:lvlJc w:val="start"/>
      <w:pPr>
        <w:tabs>
          <w:tab w:val="num" w:pos="0"/>
        </w:tabs>
        <w:ind w:start="1138"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2">
      <w:start w:val="1"/>
      <w:numFmt w:val="lowerRoman"/>
      <w:lvlText w:val="%3"/>
      <w:lvlJc w:val="start"/>
      <w:pPr>
        <w:tabs>
          <w:tab w:val="num" w:pos="0"/>
        </w:tabs>
        <w:ind w:start="1858"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3">
      <w:start w:val="1"/>
      <w:numFmt w:val="decimal"/>
      <w:lvlText w:val="%4"/>
      <w:lvlJc w:val="start"/>
      <w:pPr>
        <w:tabs>
          <w:tab w:val="num" w:pos="0"/>
        </w:tabs>
        <w:ind w:start="2578"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4">
      <w:start w:val="1"/>
      <w:numFmt w:val="lowerLetter"/>
      <w:lvlText w:val="%5"/>
      <w:lvlJc w:val="start"/>
      <w:pPr>
        <w:tabs>
          <w:tab w:val="num" w:pos="0"/>
        </w:tabs>
        <w:ind w:start="3298"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5">
      <w:start w:val="1"/>
      <w:numFmt w:val="lowerRoman"/>
      <w:lvlText w:val="%6"/>
      <w:lvlJc w:val="start"/>
      <w:pPr>
        <w:tabs>
          <w:tab w:val="num" w:pos="0"/>
        </w:tabs>
        <w:ind w:start="4018"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6">
      <w:start w:val="1"/>
      <w:numFmt w:val="decimal"/>
      <w:lvlText w:val="%7"/>
      <w:lvlJc w:val="start"/>
      <w:pPr>
        <w:tabs>
          <w:tab w:val="num" w:pos="0"/>
        </w:tabs>
        <w:ind w:start="4738"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7">
      <w:start w:val="1"/>
      <w:numFmt w:val="lowerLetter"/>
      <w:lvlText w:val="%8"/>
      <w:lvlJc w:val="start"/>
      <w:pPr>
        <w:tabs>
          <w:tab w:val="num" w:pos="0"/>
        </w:tabs>
        <w:ind w:start="5458"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8">
      <w:start w:val="1"/>
      <w:numFmt w:val="lowerRoman"/>
      <w:lvlText w:val="%9"/>
      <w:lvlJc w:val="start"/>
      <w:pPr>
        <w:tabs>
          <w:tab w:val="num" w:pos="0"/>
        </w:tabs>
        <w:ind w:start="6178"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abstractNum>
  <w:abstractNum w:abstractNumId="6">
    <w:lvl w:ilvl="0">
      <w:start w:val="1"/>
      <w:numFmt w:val="bullet"/>
      <w:lvlText w:val="•"/>
      <w:lvlJc w:val="start"/>
      <w:pPr>
        <w:tabs>
          <w:tab w:val="num" w:pos="340"/>
        </w:tabs>
        <w:ind w:start="340" w:hanging="340"/>
      </w:pPr>
      <w:rPr>
        <w:rFonts w:ascii="Arial" w:hAnsi="Arial" w:cs="Arial" w:hint="default"/>
        <w:sz w:val="24"/>
        <w:color w:val="auto"/>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7">
    <w:lvl w:ilvl="0">
      <w:start w:val="1"/>
      <w:numFmt w:val="lowerLetter"/>
      <w:lvlText w:val="%1)"/>
      <w:lvlJc w:val="start"/>
      <w:pPr>
        <w:tabs>
          <w:tab w:val="num" w:pos="0"/>
        </w:tabs>
        <w:ind w:start="0"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1">
      <w:start w:val="1"/>
      <w:numFmt w:val="lowerLetter"/>
      <w:lvlText w:val="%2"/>
      <w:lvlJc w:val="start"/>
      <w:pPr>
        <w:tabs>
          <w:tab w:val="num" w:pos="0"/>
        </w:tabs>
        <w:ind w:start="1138"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2">
      <w:start w:val="1"/>
      <w:numFmt w:val="lowerRoman"/>
      <w:lvlText w:val="%3"/>
      <w:lvlJc w:val="start"/>
      <w:pPr>
        <w:tabs>
          <w:tab w:val="num" w:pos="0"/>
        </w:tabs>
        <w:ind w:start="1858"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3">
      <w:start w:val="1"/>
      <w:numFmt w:val="decimal"/>
      <w:lvlText w:val="%4"/>
      <w:lvlJc w:val="start"/>
      <w:pPr>
        <w:tabs>
          <w:tab w:val="num" w:pos="0"/>
        </w:tabs>
        <w:ind w:start="2578"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4">
      <w:start w:val="1"/>
      <w:numFmt w:val="lowerLetter"/>
      <w:lvlText w:val="%5"/>
      <w:lvlJc w:val="start"/>
      <w:pPr>
        <w:tabs>
          <w:tab w:val="num" w:pos="0"/>
        </w:tabs>
        <w:ind w:start="3298"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5">
      <w:start w:val="1"/>
      <w:numFmt w:val="lowerRoman"/>
      <w:lvlText w:val="%6"/>
      <w:lvlJc w:val="start"/>
      <w:pPr>
        <w:tabs>
          <w:tab w:val="num" w:pos="0"/>
        </w:tabs>
        <w:ind w:start="4018"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6">
      <w:start w:val="1"/>
      <w:numFmt w:val="decimal"/>
      <w:lvlText w:val="%7"/>
      <w:lvlJc w:val="start"/>
      <w:pPr>
        <w:tabs>
          <w:tab w:val="num" w:pos="0"/>
        </w:tabs>
        <w:ind w:start="4738"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7">
      <w:start w:val="1"/>
      <w:numFmt w:val="lowerLetter"/>
      <w:lvlText w:val="%8"/>
      <w:lvlJc w:val="start"/>
      <w:pPr>
        <w:tabs>
          <w:tab w:val="num" w:pos="0"/>
        </w:tabs>
        <w:ind w:start="5458"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lvl w:ilvl="8">
      <w:start w:val="1"/>
      <w:numFmt w:val="lowerRoman"/>
      <w:lvlText w:val="%9"/>
      <w:lvlJc w:val="start"/>
      <w:pPr>
        <w:tabs>
          <w:tab w:val="num" w:pos="0"/>
        </w:tabs>
        <w:ind w:start="6178" w:hanging="0"/>
      </w:pPr>
      <w:rPr>
        <w:dstrike w:val="false"/>
        <w:strike w:val="false"/>
        <w:vertAlign w:val="baseline"/>
        <w:position w:val="0"/>
        <w:sz w:val="20"/>
        <w:sz w:val="20"/>
        <w:i w:val="false"/>
        <w:u w:val="none"/>
        <w:b w:val="false"/>
        <w:shd w:fill="auto" w:val="clear"/>
        <w:szCs w:val="20"/>
        <w:rFonts w:ascii="Arial" w:hAnsi="Arial" w:eastAsia="Arial" w:cs="Arial"/>
        <w:color w:val="000000"/>
      </w:r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20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Unicode MS"/>
        <w:kern w:val="2"/>
        <w:sz w:val="24"/>
        <w:szCs w:val="24"/>
        <w:lang w:val="it-IT"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Unicode MS"/>
      <w:color w:val="auto"/>
      <w:kern w:val="2"/>
      <w:sz w:val="24"/>
      <w:szCs w:val="24"/>
      <w:lang w:val="it-IT" w:eastAsia="zh-CN" w:bidi="hi-IN"/>
    </w:rPr>
  </w:style>
  <w:style w:type="paragraph" w:styleId="Heading2">
    <w:name w:val="heading 2"/>
    <w:next w:val="Normal"/>
    <w:qFormat/>
    <w:pPr>
      <w:keepNext w:val="true"/>
      <w:keepLines/>
      <w:widowControl/>
      <w:numPr>
        <w:ilvl w:val="0"/>
        <w:numId w:val="0"/>
      </w:numPr>
      <w:bidi w:val="0"/>
      <w:spacing w:lineRule="auto" w:line="259" w:before="0" w:after="16"/>
      <w:ind w:hanging="10" w:start="982"/>
      <w:jc w:val="start"/>
      <w:outlineLvl w:val="1"/>
    </w:pPr>
    <w:rPr>
      <w:rFonts w:ascii="Arial" w:hAnsi="Arial" w:eastAsia="Arial" w:cs="Arial"/>
      <w:color w:val="000000"/>
      <w:kern w:val="2"/>
      <w:sz w:val="20"/>
      <w:szCs w:val="24"/>
      <w:u w:val="single" w:color="000000"/>
      <w:lang w:val="it-IT" w:eastAsia="zh-CN" w:bidi="hi-IN"/>
    </w:rPr>
  </w:style>
  <w:style w:type="character" w:styleId="Hyperlink">
    <w:name w:val="Hyperlink"/>
    <w:rPr>
      <w:color w:val="000080"/>
      <w:u w:val="single"/>
    </w:rPr>
  </w:style>
  <w:style w:type="paragraph" w:styleId="Titolo">
    <w:name w:val="Titolo"/>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ice">
    <w:name w:val="Indice"/>
    <w:basedOn w:val="Normal"/>
    <w:qFormat/>
    <w:pPr>
      <w:suppressLineNumbers/>
    </w:pPr>
    <w:rPr>
      <w:rFonts w:cs="Arial Unicode MS"/>
    </w:rPr>
  </w:style>
  <w:style w:type="paragraph" w:styleId="ListParagraph">
    <w:name w:val="List Paragraph"/>
    <w:basedOn w:val="Normal"/>
    <w:qFormat/>
    <w:pPr>
      <w:spacing w:before="0" w:after="4"/>
      <w:ind w:start="72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hyperlink" Target="https://www.regione.piemonte.it/web/sites/default/files/media/documenti/2021-02/analisi_scenari_clima_regionale_periodo_2011-_2100.pdf" TargetMode="External"/><Relationship Id="rId7" Type="http://schemas.openxmlformats.org/officeDocument/2006/relationships/hyperlink" Target="https://climadat.isprambiente.it/" TargetMode="External"/><Relationship Id="rId8" Type="http://schemas.openxmlformats.org/officeDocument/2006/relationships/hyperlink" Target="https://climadat.isprambiente.it/" TargetMode="External"/><Relationship Id="rId9" Type="http://schemas.openxmlformats.org/officeDocument/2006/relationships/hyperlink" Target="https://www.geoportale.piemonte.it/cms/" TargetMode="External"/><Relationship Id="rId10" Type="http://schemas.openxmlformats.org/officeDocument/2006/relationships/hyperlink" Target="https://www.geoportale.piemonte.it/cms/" TargetMode="External"/><Relationship Id="rId11" Type="http://schemas.openxmlformats.org/officeDocument/2006/relationships/hyperlink" Target="https://www.geoportale.piemonte.it/cms/" TargetMode="External"/><Relationship Id="rId12" Type="http://schemas.openxmlformats.org/officeDocument/2006/relationships/hyperlink" Target="https://climate-adapt.eea.europa.eu/it/knowledge/adaptation-information/vulnerabilities-and-risks" TargetMode="External"/><Relationship Id="rId13" Type="http://schemas.openxmlformats.org/officeDocument/2006/relationships/hyperlink" Target="https://climate-adapt.eea.europa.eu/it/knowledge/adaptation-information/vulnerabilities-and-risks" TargetMode="External"/><Relationship Id="rId14" Type="http://schemas.openxmlformats.org/officeDocument/2006/relationships/hyperlink" Target="https://climate-adapt.eea.europa.eu/it/knowledge/adaptation-information/vulnerabilities-and-risks" TargetMode="External"/><Relationship Id="rId15" Type="http://schemas.openxmlformats.org/officeDocument/2006/relationships/hyperlink" Target="https://climate-adapt.eea.europa.eu/it/knowledge/adaptation-information/vulnerabilities-and-risks" TargetMode="External"/><Relationship Id="rId16" Type="http://schemas.openxmlformats.org/officeDocument/2006/relationships/hyperlink" Target="https://files.cmcc.it/200916_REPORT_CMCC_RISCHIO_Clima_in_Italia.pdf" TargetMode="External"/><Relationship Id="rId17" Type="http://schemas.openxmlformats.org/officeDocument/2006/relationships/hyperlink" Target="https://climadat.isprambiente.it/" TargetMode="External"/><Relationship Id="rId18" Type="http://schemas.openxmlformats.org/officeDocument/2006/relationships/hyperlink" Target="https://climadat.isprambiente.it/" TargetMode="Externa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LibreOffice/25.8.3.2$Windows_X86_64 LibreOffice_project/8ca8d55c161d602844f5428fa4b58097424e324e</Application>
  <AppVersion>15.0000</AppVersion>
  <Pages>10</Pages>
  <Words>1879</Words>
  <Characters>11994</Characters>
  <CharactersWithSpaces>13911</CharactersWithSpaces>
  <Paragraphs>133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2026-07-31T12:39:35Z</dcterms:created>
  <dc:creator/>
  <dc:description/>
  <dc:language>it-IT</dc:language>
  <cp:lastModifiedBy/>
  <dcterms:modified xsi:type="dcterms:W3CDTF">2026-07-31T12:39:53Z</dcterms:modified>
  <cp:revision>1</cp:revision>
  <dc:subject/>
  <dc:title/>
</cp:coreProperties>
</file>