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drawing>
          <wp:anchor behindDoc="0" distT="0" distB="0" distL="0" distR="0" simplePos="0" locked="0" layoutInCell="1" allowOverlap="1" relativeHeight="5">
            <wp:simplePos x="0" y="0"/>
            <wp:positionH relativeFrom="column">
              <wp:posOffset>-114935</wp:posOffset>
            </wp:positionH>
            <wp:positionV relativeFrom="paragraph">
              <wp:posOffset>-62230</wp:posOffset>
            </wp:positionV>
            <wp:extent cx="6299200" cy="49911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noChangeArrowheads="1"/>
                    </pic:cNvPicPr>
                  </pic:nvPicPr>
                  <pic:blipFill>
                    <a:blip r:embed="rId2"/>
                    <a:stretch>
                      <a:fillRect/>
                    </a:stretch>
                  </pic:blipFill>
                  <pic:spPr bwMode="auto">
                    <a:xfrm>
                      <a:off x="0" y="0"/>
                      <a:ext cx="6299200" cy="499110"/>
                    </a:xfrm>
                    <a:prstGeom prst="rect">
                      <a:avLst/>
                    </a:prstGeom>
                    <a:noFill/>
                  </pic:spPr>
                </pic:pic>
              </a:graphicData>
            </a:graphic>
          </wp:anchor>
        </w:drawing>
      </w:r>
    </w:p>
    <w:p>
      <w:pPr>
        <w:pStyle w:val="Normal"/>
        <w:pageBreakBefore w:val="false"/>
        <w:tabs>
          <w:tab w:val="clear" w:pos="709"/>
          <w:tab w:val="left" w:pos="338" w:leader="none"/>
        </w:tabs>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p>
    <w:p>
      <w:pPr>
        <w:pStyle w:val="Normal"/>
        <w:bidi w:val="0"/>
        <w:jc w:val="start"/>
        <w:rPr/>
      </w:pPr>
      <w:r>
        <w:rPr/>
      </w:r>
      <w:bookmarkStart w:id="0" w:name="bookmark=id.trvbb1rf1o4i"/>
      <w:bookmarkStart w:id="1" w:name="bookmark=id.trvbb1rf1o4i"/>
      <w:bookmarkEnd w:id="1"/>
    </w:p>
    <w:p>
      <w:pPr>
        <w:pStyle w:val="Normal"/>
        <w:keepNext w:val="false"/>
        <w:keepLines w:val="false"/>
        <w:pageBreakBefore w:val="false"/>
        <w:widowControl/>
        <w:pBdr/>
        <w:bidi w:val="0"/>
        <w:spacing w:lineRule="auto" w:line="240" w:before="0" w:after="0"/>
        <w:ind w:hanging="0" w:start="0" w:end="0"/>
        <w:jc w:val="start"/>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vertAlign w:val="baseline"/>
        </w:rPr>
        <w:drawing>
          <wp:inline distT="0" distB="0" distL="0" distR="0">
            <wp:extent cx="6116320" cy="4229100"/>
            <wp:effectExtent l="0" t="0" r="0" b="0"/>
            <wp:docPr id="2" name="Copia image1.p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pia image1.png 1"/>
                    <pic:cNvPicPr>
                      <a:picLocks noChangeAspect="1" noChangeArrowheads="1"/>
                    </pic:cNvPicPr>
                  </pic:nvPicPr>
                  <pic:blipFill>
                    <a:blip r:embed="rId3"/>
                    <a:stretch>
                      <a:fillRect/>
                    </a:stretch>
                  </pic:blipFill>
                  <pic:spPr bwMode="auto">
                    <a:xfrm>
                      <a:off x="0" y="0"/>
                      <a:ext cx="6116320" cy="4229100"/>
                    </a:xfrm>
                    <a:prstGeom prst="rect">
                      <a:avLst/>
                    </a:prstGeom>
                    <a:noFill/>
                  </pic:spPr>
                </pic:pic>
              </a:graphicData>
            </a:graphic>
          </wp:inline>
        </w:drawing>
      </w:r>
      <w:r>
        <w:rPr>
          <w:rFonts w:eastAsia="Liberation Serif" w:cs="Liberation Serif"/>
          <w:b w:val="false"/>
          <w:bCs w:val="false"/>
          <w:i w:val="false"/>
          <w:iCs w:val="false"/>
          <w:caps w:val="false"/>
          <w:smallCaps w:val="false"/>
          <w:strike w:val="false"/>
          <w:dstrike w:val="false"/>
          <w:color w:val="000000"/>
          <w:position w:val="0"/>
          <w:sz w:val="24"/>
          <w:sz w:val="24"/>
          <w:szCs w:val="24"/>
          <w:u w:val="none"/>
          <w:vertAlign w:val="baseline"/>
        </w:rPr>
        <w:t xml:space="preserve"> </w:t>
      </w:r>
    </w:p>
    <w:p>
      <w:pPr>
        <w:pStyle w:val="Normal"/>
        <w:bidi w:val="0"/>
        <w:jc w:val="start"/>
        <w:rPr/>
      </w:pPr>
      <w:r>
        <w:rPr/>
      </w:r>
    </w:p>
    <w:p>
      <w:pPr>
        <w:pStyle w:val="Normal"/>
        <w:bidi w:val="0"/>
        <w:jc w:val="start"/>
        <w:rPr>
          <w:rFonts w:ascii="Liberation Serif" w:hAnsi="Liberation Serif" w:eastAsia="Liberation Serif" w:cs="Liberation Serif"/>
          <w:b w:val="false"/>
          <w:bCs w:val="false"/>
          <w:i w:val="false"/>
          <w:i w:val="false"/>
          <w:iCs w:val="false"/>
          <w:caps w:val="false"/>
          <w:smallCaps w:val="false"/>
          <w:strike w:val="false"/>
          <w:dstrike w:val="false"/>
          <w:color w:val="000000"/>
          <w:position w:val="0"/>
          <w:sz w:val="24"/>
          <w:sz w:val="24"/>
          <w:szCs w:val="24"/>
          <w:u w:val="none"/>
          <w:vertAlign w:val="baseline"/>
        </w:rPr>
      </w:pPr>
      <w:r>
        <w:rPr>
          <w:rFonts w:eastAsia="Liberation Serif" w:cs="Liberation Serif"/>
          <w:b w:val="false"/>
          <w:bCs w:val="false"/>
          <w:i w:val="false"/>
          <w:iCs w:val="false"/>
          <w:caps w:val="false"/>
          <w:smallCaps w:val="false"/>
          <w:strike w:val="false"/>
          <w:dstrike w:val="false"/>
          <w:color w:val="000000"/>
          <w:position w:val="0"/>
          <w:sz w:val="24"/>
          <w:sz w:val="24"/>
          <w:szCs w:val="24"/>
          <w:u w:val="none"/>
          <w:vertAlign w:val="baseline"/>
        </w:rPr>
        <mc:AlternateContent>
          <mc:Choice Requires="wps">
            <w:drawing>
              <wp:anchor behindDoc="0" distT="0" distB="0" distL="0" distR="0" simplePos="0" locked="0" layoutInCell="1" allowOverlap="1" relativeHeight="4">
                <wp:simplePos x="0" y="0"/>
                <wp:positionH relativeFrom="column">
                  <wp:posOffset>-728345</wp:posOffset>
                </wp:positionH>
                <wp:positionV relativeFrom="paragraph">
                  <wp:posOffset>760730</wp:posOffset>
                </wp:positionV>
                <wp:extent cx="7579360" cy="704215"/>
                <wp:effectExtent l="0" t="97790" r="0" b="0"/>
                <wp:wrapNone/>
                <wp:docPr id="3" name="Image1"/>
                <a:graphic xmlns:a="http://schemas.openxmlformats.org/drawingml/2006/main">
                  <a:graphicData uri="http://schemas.microsoft.com/office/word/2010/wordprocessingShape">
                    <wps:wsp>
                      <wps:cNvSpPr/>
                      <wps:spPr>
                        <a:xfrm>
                          <a:off x="0" y="0"/>
                          <a:ext cx="7579440" cy="704160"/>
                        </a:xfrm>
                        <a:prstGeom prst="rect">
                          <a:avLst/>
                        </a:prstGeom>
                        <a:noFill/>
                        <a:ln w="0">
                          <a:noFill/>
                        </a:ln>
                      </wps:spPr>
                      <wps:style>
                        <a:lnRef idx="0"/>
                        <a:fillRef idx="0"/>
                        <a:effectRef idx="0"/>
                        <a:fontRef idx="minor"/>
                      </wps:style>
                      <wps:txbx>
                        <w:txbxContent>
                          <w:p>
                            <w:pPr>
                              <w:overflowPunct w:val="false"/>
                              <w:bidi w:val="0"/>
                              <w:spacing w:before="0" w:after="0" w:lineRule="exact" w:line="240"/>
                              <w:ind w:start="0" w:end="0" w:hanging="0"/>
                              <w:jc w:val="center"/>
                              <w:rPr/>
                            </w:pPr>
                            <w:r>
                              <w:rPr>
                                <w:sz w:val="44"/>
                                <w:b/>
                                <w:dstrike w:val="false"/>
                                <w:strike w:val="false"/>
                                <w:i w:val="false"/>
                                <w:vertAlign w:val="baseline"/>
                                <w:position w:val="0"/>
                                <w:smallCaps w:val="false"/>
                                <w:caps w:val="false"/>
                                <w:rFonts w:ascii="Calibri" w:hAnsi="Calibri" w:eastAsia="Calibri" w:cs="Calibri"/>
                                <w:color w:val="000000"/>
                              </w:rPr>
                              <w:t>ALLEGATO 17</w:t>
                            </w:r>
                          </w:p>
                          <w:p>
                            <w:pPr>
                              <w:overflowPunct w:val="false"/>
                              <w:bidi w:val="0"/>
                              <w:spacing w:before="0" w:after="0" w:lineRule="exact" w:line="240"/>
                              <w:ind w:start="0" w:end="0" w:hanging="0"/>
                              <w:jc w:val="center"/>
                              <w:rPr/>
                            </w:pPr>
                            <w:r>
                              <w:rPr>
                                <w:sz w:val="36"/>
                              </w:rPr>
                            </w:r>
                          </w:p>
                          <w:p>
                            <w:pPr>
                              <w:overflowPunct w:val="false"/>
                              <w:bidi w:val="0"/>
                              <w:spacing w:before="0" w:after="0" w:lineRule="exact" w:line="240"/>
                              <w:ind w:start="0" w:end="0" w:hanging="0"/>
                              <w:jc w:val="center"/>
                              <w:rPr/>
                            </w:pPr>
                            <w:r>
                              <w:rPr>
                                <w:sz w:val="44"/>
                                <w:b/>
                                <w:dstrike w:val="false"/>
                                <w:strike w:val="false"/>
                                <w:i w:val="false"/>
                                <w:vertAlign w:val="baseline"/>
                                <w:position w:val="0"/>
                                <w:smallCaps w:val="false"/>
                                <w:caps w:val="false"/>
                                <w:rFonts w:ascii="Calibri" w:hAnsi="Calibri" w:eastAsia="Calibri" w:cs="Calibri"/>
                                <w:color w:val="000000"/>
                              </w:rPr>
                              <w:t xml:space="preserve">Schema di Relazione Tecnico-Economica Finale </w:t>
                            </w:r>
                          </w:p>
                        </w:txbxContent>
                      </wps:txbx>
                      <wps:bodyPr lIns="0" rIns="0" tIns="0" bIns="0" anchor="t">
                        <a:noAutofit/>
                      </wps:bodyPr>
                    </wps:wsp>
                  </a:graphicData>
                </a:graphic>
              </wp:anchor>
            </w:drawing>
          </mc:Choice>
          <mc:Fallback>
            <w:pict>
              <v:rect id="shape_0" ID="Image1" path="m0,0l-2147483645,0l-2147483645,-2147483646l0,-2147483646xe" stroked="f" o:allowincell="f" style="position:absolute;margin-left:-57.35pt;margin-top:59.9pt;width:596.75pt;height:55.4pt;mso-wrap-style:square;v-text-anchor:top">
                <v:textbox>
                  <w:txbxContent>
                    <w:p>
                      <w:pPr>
                        <w:overflowPunct w:val="false"/>
                        <w:bidi w:val="0"/>
                        <w:spacing w:before="0" w:after="0" w:lineRule="exact" w:line="240"/>
                        <w:ind w:start="0" w:end="0" w:hanging="0"/>
                        <w:jc w:val="center"/>
                        <w:rPr/>
                      </w:pPr>
                      <w:r>
                        <w:rPr>
                          <w:sz w:val="44"/>
                          <w:b/>
                          <w:dstrike w:val="false"/>
                          <w:strike w:val="false"/>
                          <w:i w:val="false"/>
                          <w:vertAlign w:val="baseline"/>
                          <w:position w:val="0"/>
                          <w:smallCaps w:val="false"/>
                          <w:caps w:val="false"/>
                          <w:rFonts w:ascii="Calibri" w:hAnsi="Calibri" w:eastAsia="Calibri" w:cs="Calibri"/>
                          <w:color w:val="000000"/>
                        </w:rPr>
                        <w:t>ALLEGATO 17</w:t>
                      </w:r>
                    </w:p>
                    <w:p>
                      <w:pPr>
                        <w:overflowPunct w:val="false"/>
                        <w:bidi w:val="0"/>
                        <w:spacing w:before="0" w:after="0" w:lineRule="exact" w:line="240"/>
                        <w:ind w:start="0" w:end="0" w:hanging="0"/>
                        <w:jc w:val="center"/>
                        <w:rPr/>
                      </w:pPr>
                      <w:r>
                        <w:rPr>
                          <w:sz w:val="36"/>
                        </w:rPr>
                      </w:r>
                    </w:p>
                    <w:p>
                      <w:pPr>
                        <w:overflowPunct w:val="false"/>
                        <w:bidi w:val="0"/>
                        <w:spacing w:before="0" w:after="0" w:lineRule="exact" w:line="240"/>
                        <w:ind w:start="0" w:end="0" w:hanging="0"/>
                        <w:jc w:val="center"/>
                        <w:rPr/>
                      </w:pPr>
                      <w:r>
                        <w:rPr>
                          <w:sz w:val="44"/>
                          <w:b/>
                          <w:dstrike w:val="false"/>
                          <w:strike w:val="false"/>
                          <w:i w:val="false"/>
                          <w:vertAlign w:val="baseline"/>
                          <w:position w:val="0"/>
                          <w:smallCaps w:val="false"/>
                          <w:caps w:val="false"/>
                          <w:rFonts w:ascii="Calibri" w:hAnsi="Calibri" w:eastAsia="Calibri" w:cs="Calibri"/>
                          <w:color w:val="000000"/>
                        </w:rPr>
                        <w:t xml:space="preserve">Schema di Relazione Tecnico-Economica Finale </w:t>
                      </w:r>
                    </w:p>
                  </w:txbxContent>
                </v:textbox>
                <v:fill o:detectmouseclick="t" on="false"/>
                <v:stroke color="#3465a4" joinstyle="round" endcap="flat"/>
                <w10:wrap type="none"/>
              </v:rect>
            </w:pict>
          </mc:Fallback>
        </mc:AlternateContent>
      </w:r>
    </w:p>
    <w:p>
      <w:pPr>
        <w:pStyle w:val="Normal"/>
        <w:widowControl/>
        <w:bidi w:val="0"/>
        <w:spacing w:lineRule="auto" w:line="276" w:before="0" w:after="140"/>
        <w:ind w:hanging="0" w:start="0" w:end="0"/>
        <w:jc w:val="start"/>
        <w:rPr/>
      </w:pPr>
      <w:r>
        <w:rPr/>
      </w:r>
      <w:bookmarkStart w:id="2" w:name="bookmark=id.tx51brz906f9"/>
      <w:bookmarkStart w:id="3" w:name="bookmark=id.tx51brz906f9"/>
      <w:bookmarkEnd w:id="3"/>
    </w:p>
    <w:p>
      <w:pPr>
        <w:pStyle w:val="Normal"/>
        <w:keepNext w:val="false"/>
        <w:keepLines w:val="false"/>
        <w:pageBreakBefore w:val="false"/>
        <w:widowControl/>
        <w:pBdr/>
        <w:shd w:fill="FFFFFF" w:val="clear"/>
        <w:bidi w:val="0"/>
        <w:spacing w:lineRule="auto" w:line="240" w:before="240" w:after="120"/>
        <w:ind w:hanging="0" w:start="0" w:end="0"/>
        <w:jc w:val="start"/>
        <w:rPr>
          <w:rFonts w:ascii="Arial" w:hAnsi="Arial" w:eastAsia="Arial" w:cs="Arial"/>
          <w:b/>
          <w:bCs/>
          <w:i w:val="false"/>
          <w:i w:val="false"/>
          <w:iCs w:val="false"/>
          <w:caps w:val="false"/>
          <w:smallCaps w:val="false"/>
          <w:strike w:val="false"/>
          <w:dstrike w:val="false"/>
          <w:color w:val="000000"/>
          <w:position w:val="0"/>
          <w:sz w:val="32"/>
          <w:sz w:val="32"/>
          <w:szCs w:val="32"/>
          <w:u w:val="none"/>
          <w:vertAlign w:val="baseline"/>
        </w:rPr>
      </w:pPr>
      <w:r>
        <w:rPr>
          <w:rFonts w:eastAsia="Arial" w:cs="Arial" w:ascii="Arial" w:hAnsi="Arial"/>
          <w:b/>
          <w:bCs/>
          <w:i w:val="false"/>
          <w:iCs w:val="false"/>
          <w:caps w:val="false"/>
          <w:smallCaps w:val="false"/>
          <w:strike w:val="false"/>
          <w:dstrike w:val="false"/>
          <w:color w:val="000000"/>
          <w:position w:val="0"/>
          <w:sz w:val="32"/>
          <w:sz w:val="32"/>
          <w:szCs w:val="32"/>
          <w:u w:val="none"/>
          <w:vertAlign w:val="baseline"/>
        </w:rPr>
      </w:r>
    </w:p>
    <w:p>
      <w:pPr>
        <w:pStyle w:val="Normal"/>
        <w:widowControl/>
        <w:shd w:fill="FFFFFF" w:val="clear"/>
        <w:bidi w:val="0"/>
        <w:spacing w:lineRule="auto" w:line="240" w:before="240" w:after="120"/>
        <w:ind w:hanging="0" w:start="0" w:end="0"/>
        <w:jc w:val="center"/>
        <w:rPr>
          <w:rFonts w:ascii="Arial" w:hAnsi="Arial" w:eastAsia="Arial" w:cs="Arial"/>
          <w:b/>
          <w:bCs/>
          <w:sz w:val="32"/>
          <w:szCs w:val="32"/>
        </w:rPr>
      </w:pPr>
      <w:r>
        <w:rPr>
          <w:rFonts w:eastAsia="Arial" w:cs="Arial" w:ascii="Arial" w:hAnsi="Arial"/>
          <w:b/>
          <w:bCs/>
          <w:sz w:val="32"/>
          <w:szCs w:val="32"/>
        </w:rPr>
      </w:r>
    </w:p>
    <w:p>
      <w:pPr>
        <w:pStyle w:val="Normal"/>
        <w:widowControl/>
        <w:shd w:fill="FFFFFF" w:val="clear"/>
        <w:bidi w:val="0"/>
        <w:spacing w:lineRule="auto" w:line="240" w:before="240" w:after="120"/>
        <w:ind w:hanging="0" w:start="0" w:end="0"/>
        <w:jc w:val="center"/>
        <w:rPr>
          <w:rFonts w:ascii="Arial" w:hAnsi="Arial" w:eastAsia="Arial" w:cs="Arial"/>
          <w:b/>
          <w:bCs/>
          <w:sz w:val="32"/>
          <w:szCs w:val="32"/>
        </w:rPr>
      </w:pPr>
      <w:r>
        <w:rPr>
          <w:rFonts w:eastAsia="Arial" w:cs="Arial" w:ascii="Arial" w:hAnsi="Arial"/>
          <w:b/>
          <w:bCs/>
          <w:sz w:val="32"/>
          <w:szCs w:val="32"/>
        </w:rPr>
      </w:r>
    </w:p>
    <w:p>
      <w:pPr>
        <w:pStyle w:val="Normal"/>
        <w:widowControl/>
        <w:shd w:fill="FFFFFF" w:val="clear"/>
        <w:bidi w:val="0"/>
        <w:spacing w:lineRule="auto" w:line="240" w:before="240" w:after="120"/>
        <w:ind w:hanging="0" w:start="0" w:end="0"/>
        <w:jc w:val="center"/>
        <w:rPr>
          <w:rFonts w:ascii="Arial" w:hAnsi="Arial" w:eastAsia="Arial" w:cs="Arial"/>
          <w:b/>
          <w:bCs/>
          <w:sz w:val="32"/>
          <w:szCs w:val="32"/>
        </w:rPr>
      </w:pPr>
      <w:r>
        <w:rPr>
          <w:rFonts w:eastAsia="Arial" w:cs="Arial" w:ascii="Arial" w:hAnsi="Arial"/>
          <w:b/>
          <w:bCs/>
          <w:sz w:val="32"/>
          <w:szCs w:val="32"/>
        </w:rPr>
      </w:r>
    </w:p>
    <w:p>
      <w:pPr>
        <w:pStyle w:val="Normal"/>
        <w:widowControl/>
        <w:shd w:fill="FFFFFF" w:val="clear"/>
        <w:bidi w:val="0"/>
        <w:spacing w:lineRule="auto" w:line="240" w:before="240" w:after="120"/>
        <w:ind w:hanging="0" w:start="0" w:end="0"/>
        <w:jc w:val="center"/>
        <w:rPr>
          <w:rFonts w:ascii="Arial" w:hAnsi="Arial" w:eastAsia="Arial" w:cs="Arial"/>
          <w:b/>
          <w:bCs/>
          <w:sz w:val="32"/>
          <w:szCs w:val="32"/>
        </w:rPr>
      </w:pPr>
      <w:r>
        <w:rPr>
          <w:rFonts w:eastAsia="Arial" w:cs="Arial" w:ascii="Arial" w:hAnsi="Arial"/>
          <w:b/>
          <w:bCs/>
          <w:sz w:val="32"/>
          <w:szCs w:val="32"/>
        </w:rPr>
      </w:r>
    </w:p>
    <w:p>
      <w:pPr>
        <w:pStyle w:val="Normal"/>
        <w:widowControl/>
        <w:shd w:fill="FFFFFF" w:val="clear"/>
        <w:bidi w:val="0"/>
        <w:spacing w:lineRule="auto" w:line="240" w:before="240" w:after="120"/>
        <w:ind w:hanging="0" w:start="0" w:end="0"/>
        <w:jc w:val="center"/>
        <w:rPr>
          <w:rFonts w:ascii="Arial" w:hAnsi="Arial" w:eastAsia="Arial" w:cs="Arial"/>
          <w:b/>
          <w:bCs/>
          <w:sz w:val="32"/>
          <w:szCs w:val="32"/>
          <w:shd w:fill="FFFF00" w:val="clear"/>
        </w:rPr>
      </w:pPr>
      <w:r>
        <w:rPr>
          <w:rFonts w:eastAsia="Arial" w:cs="Arial" w:ascii="Arial" w:hAnsi="Arial"/>
          <w:b/>
          <w:bCs/>
          <w:sz w:val="32"/>
          <w:szCs w:val="32"/>
          <w:shd w:fill="FFFF00" w:val="clear"/>
        </w:rPr>
        <w:drawing>
          <wp:anchor behindDoc="0" distT="0" distB="0" distL="0" distR="0" simplePos="0" locked="0" layoutInCell="0" allowOverlap="1" relativeHeight="3">
            <wp:simplePos x="0" y="0"/>
            <wp:positionH relativeFrom="column">
              <wp:posOffset>4687570</wp:posOffset>
            </wp:positionH>
            <wp:positionV relativeFrom="paragraph">
              <wp:posOffset>720725</wp:posOffset>
            </wp:positionV>
            <wp:extent cx="1552575" cy="971550"/>
            <wp:effectExtent l="0" t="0" r="0" b="0"/>
            <wp:wrapSquare wrapText="bothSides"/>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noChangeArrowheads="1"/>
                    </pic:cNvPicPr>
                  </pic:nvPicPr>
                  <pic:blipFill>
                    <a:blip r:embed="rId4"/>
                    <a:stretch>
                      <a:fillRect/>
                    </a:stretch>
                  </pic:blipFill>
                  <pic:spPr bwMode="auto">
                    <a:xfrm>
                      <a:off x="0" y="0"/>
                      <a:ext cx="1552575" cy="971550"/>
                    </a:xfrm>
                    <a:prstGeom prst="rect">
                      <a:avLst/>
                    </a:prstGeom>
                    <a:noFill/>
                  </pic:spPr>
                </pic:pic>
              </a:graphicData>
            </a:graphic>
          </wp:anchor>
        </w:drawing>
      </w:r>
    </w:p>
    <w:p>
      <w:pPr>
        <w:pStyle w:val="Normal"/>
        <w:widowControl/>
        <w:shd w:fill="FFFFFF" w:val="clear"/>
        <w:bidi w:val="0"/>
        <w:spacing w:lineRule="auto" w:line="240" w:before="240" w:after="120"/>
        <w:ind w:hanging="0" w:start="0" w:end="0"/>
        <w:jc w:val="center"/>
        <w:rPr>
          <w:rFonts w:ascii="Arial" w:hAnsi="Arial" w:eastAsia="Arial" w:cs="Arial"/>
          <w:b/>
          <w:bCs/>
          <w:sz w:val="32"/>
          <w:szCs w:val="32"/>
          <w:shd w:fill="FFFF00" w:val="clear"/>
        </w:rPr>
      </w:pPr>
      <w:r>
        <w:rPr>
          <w:rFonts w:eastAsia="Arial" w:cs="Arial" w:ascii="Arial" w:hAnsi="Arial"/>
          <w:b/>
          <w:bCs/>
          <w:sz w:val="32"/>
          <w:szCs w:val="32"/>
          <w:shd w:fill="FFFF00" w:val="clear"/>
        </w:rPr>
        <w:drawing>
          <wp:anchor behindDoc="0" distT="0" distB="0" distL="114300" distR="114300" simplePos="0" locked="0" layoutInCell="0" allowOverlap="1" relativeHeight="6">
            <wp:simplePos x="0" y="0"/>
            <wp:positionH relativeFrom="column">
              <wp:posOffset>-720090</wp:posOffset>
            </wp:positionH>
            <wp:positionV relativeFrom="paragraph">
              <wp:posOffset>207010</wp:posOffset>
            </wp:positionV>
            <wp:extent cx="7559675" cy="99695"/>
            <wp:effectExtent l="0" t="0" r="0" b="0"/>
            <wp:wrapSquare wrapText="bothSides"/>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a:picLocks noChangeAspect="1" noChangeArrowheads="1"/>
                    </pic:cNvPicPr>
                  </pic:nvPicPr>
                  <pic:blipFill>
                    <a:blip r:embed="rId5"/>
                    <a:stretch>
                      <a:fillRect/>
                    </a:stretch>
                  </pic:blipFill>
                  <pic:spPr bwMode="auto">
                    <a:xfrm>
                      <a:off x="0" y="0"/>
                      <a:ext cx="7559675" cy="99695"/>
                    </a:xfrm>
                    <a:prstGeom prst="rect">
                      <a:avLst/>
                    </a:prstGeom>
                    <a:noFill/>
                  </pic:spPr>
                </pic:pic>
              </a:graphicData>
            </a:graphic>
          </wp:anchor>
        </w:drawing>
      </w:r>
    </w:p>
    <w:sdt>
      <w:sdtPr>
        <w:docPartObj>
          <w:docPartGallery w:val="Table of Contents"/>
          <w:docPartUnique w:val="true"/>
        </w:docPartObj>
      </w:sdtPr>
      <w:sdtContent>
        <w:p>
          <w:pPr>
            <w:pStyle w:val="TOCHeading"/>
            <w:bidi w:val="0"/>
            <w:jc w:val="start"/>
            <w:rPr/>
          </w:pPr>
          <w:r>
            <w:br w:type="page"/>
          </w:r>
          <w:r>
            <w:rPr/>
            <w:t>Indice</w:t>
          </w:r>
        </w:p>
        <w:p>
          <w:pPr>
            <w:pStyle w:val="TOC7"/>
            <w:tabs>
              <w:tab w:val="clear" w:pos="7937"/>
              <w:tab w:val="right" w:pos="11338" w:leader="dot"/>
            </w:tabs>
            <w:bidi w:val="0"/>
            <w:jc w:val="start"/>
            <w:rPr/>
          </w:pPr>
          <w:r>
            <w:fldChar w:fldCharType="begin"/>
          </w:r>
          <w:r>
            <w:rPr>
              <w:rStyle w:val="Collegamentoindice"/>
            </w:rPr>
            <w:instrText xml:space="preserve"> TOC \f \o "1-9" \h</w:instrText>
          </w:r>
          <w:r>
            <w:rPr>
              <w:rStyle w:val="Collegamentoindice"/>
            </w:rPr>
            <w:fldChar w:fldCharType="separate"/>
          </w:r>
          <w:hyperlink w:anchor="__RefHeading___Toc2721_1225741152" w:tooltip="PREMESSA">
            <w:r>
              <w:rPr>
                <w:rStyle w:val="Collegamentoindice"/>
              </w:rPr>
              <w:t>PREMESSA</w:t>
              <w:tab/>
              <w:t>3</w:t>
            </w:r>
          </w:hyperlink>
        </w:p>
        <w:p>
          <w:pPr>
            <w:pStyle w:val="TOC7"/>
            <w:tabs>
              <w:tab w:val="clear" w:pos="7937"/>
              <w:tab w:val="right" w:pos="11338" w:leader="dot"/>
            </w:tabs>
            <w:bidi w:val="0"/>
            <w:jc w:val="start"/>
            <w:rPr/>
          </w:pPr>
          <w:hyperlink w:anchor="__RefHeading___Toc5660_2724914010" w:tooltip="1. SINTESI DEGLI INTERVENTI">
            <w:r>
              <w:rPr>
                <w:rStyle w:val="Collegamentoindice"/>
              </w:rPr>
              <w:t>1. SINTESI DEGLI INTERVENTI</w:t>
              <w:tab/>
              <w:t>3</w:t>
            </w:r>
          </w:hyperlink>
        </w:p>
        <w:p>
          <w:pPr>
            <w:pStyle w:val="TOC7"/>
            <w:tabs>
              <w:tab w:val="clear" w:pos="7937"/>
              <w:tab w:val="right" w:pos="11338" w:leader="dot"/>
            </w:tabs>
            <w:bidi w:val="0"/>
            <w:jc w:val="start"/>
            <w:rPr/>
          </w:pPr>
          <w:hyperlink w:anchor="__RefHeading___Toc5662_2724914010" w:tooltip="2. CARATTERISTICHE DELL’INTERVENTO">
            <w:r>
              <w:rPr>
                <w:rStyle w:val="Collegamentoindice"/>
              </w:rPr>
              <w:t>2. CARATTERISTICHE DELL’INTERVENTO</w:t>
              <w:tab/>
              <w:t>3</w:t>
            </w:r>
          </w:hyperlink>
        </w:p>
        <w:p>
          <w:pPr>
            <w:pStyle w:val="TOC8"/>
            <w:tabs>
              <w:tab w:val="clear" w:pos="7654"/>
              <w:tab w:val="right" w:pos="11621" w:leader="dot"/>
            </w:tabs>
            <w:bidi w:val="0"/>
            <w:jc w:val="start"/>
            <w:rPr/>
          </w:pPr>
          <w:hyperlink w:anchor="__RefHeading___Toc5664_2724914010" w:tooltip="2.1 Informazioni generali">
            <w:r>
              <w:rPr>
                <w:rStyle w:val="Collegamentoindice"/>
              </w:rPr>
              <w:t>2.1 Informazioni generali</w:t>
              <w:tab/>
              <w:t>3</w:t>
            </w:r>
          </w:hyperlink>
        </w:p>
        <w:p>
          <w:pPr>
            <w:pStyle w:val="TOC8"/>
            <w:tabs>
              <w:tab w:val="clear" w:pos="7654"/>
              <w:tab w:val="right" w:pos="11621" w:leader="dot"/>
            </w:tabs>
            <w:bidi w:val="0"/>
            <w:jc w:val="start"/>
            <w:rPr/>
          </w:pPr>
          <w:hyperlink w:anchor="__RefHeading___Toc5666_2724914010" w:tooltip="2.2 Risultati conseguiti">
            <w:r>
              <w:rPr>
                <w:rStyle w:val="Collegamentoindice"/>
              </w:rPr>
              <w:t>2.2 Risultati conseguiti</w:t>
              <w:tab/>
              <w:t>3</w:t>
            </w:r>
          </w:hyperlink>
        </w:p>
        <w:p>
          <w:pPr>
            <w:pStyle w:val="TOC8"/>
            <w:tabs>
              <w:tab w:val="clear" w:pos="7654"/>
              <w:tab w:val="right" w:pos="11621" w:leader="dot"/>
            </w:tabs>
            <w:bidi w:val="0"/>
            <w:jc w:val="start"/>
            <w:rPr/>
          </w:pPr>
          <w:hyperlink w:anchor="__RefHeading___Toc5668_2724914010" w:tooltip="2.3 Quadro economico">
            <w:r>
              <w:rPr>
                <w:rStyle w:val="Collegamentoindice"/>
              </w:rPr>
              <w:t>2.3 Quadro economico</w:t>
              <w:tab/>
              <w:t>4</w:t>
            </w:r>
          </w:hyperlink>
        </w:p>
        <w:p>
          <w:pPr>
            <w:pStyle w:val="TOC8"/>
            <w:tabs>
              <w:tab w:val="clear" w:pos="7654"/>
              <w:tab w:val="right" w:pos="11621" w:leader="dot"/>
            </w:tabs>
            <w:bidi w:val="0"/>
            <w:jc w:val="start"/>
            <w:rPr/>
          </w:pPr>
          <w:hyperlink w:anchor="__RefHeading___Toc5670_2724914010" w:tooltip="2.4 Monitoraggio">
            <w:r>
              <w:rPr>
                <w:rStyle w:val="Collegamentoindice"/>
              </w:rPr>
              <w:t>2.4 Monitoraggio</w:t>
              <w:tab/>
              <w:t>4</w:t>
            </w:r>
          </w:hyperlink>
        </w:p>
        <w:p>
          <w:pPr>
            <w:pStyle w:val="TOC8"/>
            <w:tabs>
              <w:tab w:val="clear" w:pos="7654"/>
              <w:tab w:val="right" w:pos="11621" w:leader="dot"/>
            </w:tabs>
            <w:bidi w:val="0"/>
            <w:jc w:val="start"/>
            <w:rPr/>
          </w:pPr>
          <w:hyperlink w:anchor="__RefHeading___Toc5672_2724914010" w:tooltip="2.5 Calendario delle attività">
            <w:r>
              <w:rPr>
                <w:rStyle w:val="Collegamentoindice"/>
              </w:rPr>
              <w:t>2.5 Calendario delle attività</w:t>
              <w:tab/>
              <w:t>4</w:t>
            </w:r>
          </w:hyperlink>
        </w:p>
        <w:p>
          <w:pPr>
            <w:pStyle w:val="TOC8"/>
            <w:tabs>
              <w:tab w:val="clear" w:pos="7654"/>
              <w:tab w:val="right" w:pos="11621" w:leader="dot"/>
            </w:tabs>
            <w:bidi w:val="0"/>
            <w:jc w:val="start"/>
            <w:rPr/>
          </w:pPr>
          <w:hyperlink w:anchor="__RefHeading___Toc5674_2724914010" w:tooltip="2.6 Modalità di manutenzione">
            <w:r>
              <w:rPr>
                <w:rStyle w:val="Collegamentoindice"/>
              </w:rPr>
              <w:t>2.6 Modalità di manutenzione</w:t>
              <w:tab/>
              <w:t>4</w:t>
            </w:r>
          </w:hyperlink>
        </w:p>
        <w:p>
          <w:pPr>
            <w:pStyle w:val="TOC8"/>
            <w:tabs>
              <w:tab w:val="clear" w:pos="7654"/>
              <w:tab w:val="right" w:pos="11621" w:leader="dot"/>
            </w:tabs>
            <w:bidi w:val="0"/>
            <w:jc w:val="start"/>
            <w:rPr/>
          </w:pPr>
          <w:hyperlink w:anchor="__RefHeading___Toc5676_2724914010" w:tooltip="2.7 Modalità di divulgazione">
            <w:r>
              <w:rPr>
                <w:rStyle w:val="Collegamentoindice"/>
              </w:rPr>
              <w:t>2.7 Modalità di divulgazione</w:t>
              <w:tab/>
              <w:t>4</w:t>
            </w:r>
          </w:hyperlink>
        </w:p>
        <w:p>
          <w:pPr>
            <w:pStyle w:val="TOC7"/>
            <w:tabs>
              <w:tab w:val="clear" w:pos="7937"/>
              <w:tab w:val="right" w:pos="11338" w:leader="dot"/>
            </w:tabs>
            <w:bidi w:val="0"/>
            <w:jc w:val="start"/>
            <w:rPr/>
          </w:pPr>
          <w:hyperlink w:anchor="__RefHeading___Toc12688_2225199463" w:tooltip="3. ALLEGATI TECNICI">
            <w:r>
              <w:rPr>
                <w:rStyle w:val="Collegamentoindice"/>
              </w:rPr>
              <w:t>3. ALLEGATI TECNICI</w:t>
              <w:tab/>
              <w:t>4</w:t>
            </w:r>
          </w:hyperlink>
        </w:p>
        <w:p>
          <w:pPr>
            <w:pStyle w:val="TOC8"/>
            <w:tabs>
              <w:tab w:val="clear" w:pos="7654"/>
              <w:tab w:val="right" w:pos="11621" w:leader="dot"/>
            </w:tabs>
            <w:bidi w:val="0"/>
            <w:jc w:val="start"/>
            <w:rPr/>
          </w:pPr>
          <w:hyperlink w:anchor="__RefHeading___Toc2723_1225741152" w:tooltip="3.1 Modalità di verifica del rispetto del principio DNSH">
            <w:r>
              <w:rPr>
                <w:rStyle w:val="Collegamentoindice"/>
              </w:rPr>
              <w:t>3.1 Modalità di verifica del rispetto del principio DNSH</w:t>
              <w:tab/>
              <w:t>4</w:t>
            </w:r>
          </w:hyperlink>
          <w:r>
            <w:rPr>
              <w:rStyle w:val="Collegamentoindice"/>
            </w:rPr>
            <w:fldChar w:fldCharType="end"/>
          </w:r>
        </w:p>
      </w:sdtContent>
    </w:sdt>
    <w:p>
      <w:pPr>
        <w:pStyle w:val="Heading1"/>
        <w:spacing w:before="0" w:after="240"/>
        <w:rPr/>
      </w:pPr>
      <w:r>
        <w:rPr/>
        <w:t xml:space="preserve">     </w:t>
      </w:r>
    </w:p>
    <w:p>
      <w:pPr>
        <w:pStyle w:val="Heading1"/>
        <w:spacing w:before="0" w:after="240"/>
        <w:rPr>
          <w:rFonts w:ascii="Arial" w:hAnsi="Arial" w:eastAsia="Microsoft YaHei" w:cs="Arial"/>
          <w:bCs/>
          <w:sz w:val="24"/>
          <w:szCs w:val="24"/>
        </w:rPr>
      </w:pPr>
      <w:r>
        <w:rPr>
          <w:rFonts w:eastAsia="Microsoft YaHei" w:cs="Arial" w:ascii="Arial" w:hAnsi="Arial"/>
          <w:bCs/>
          <w:sz w:val="24"/>
          <w:szCs w:val="24"/>
        </w:rPr>
      </w:r>
    </w:p>
    <w:p>
      <w:pPr>
        <w:pStyle w:val="Heading1"/>
        <w:spacing w:before="0" w:after="240"/>
        <w:rPr>
          <w:rFonts w:ascii="Arial" w:hAnsi="Arial" w:eastAsia="Microsoft YaHei" w:cs="Arial"/>
          <w:bCs/>
          <w:sz w:val="24"/>
          <w:szCs w:val="24"/>
        </w:rPr>
      </w:pPr>
      <w:r>
        <w:rPr>
          <w:rFonts w:eastAsia="Microsoft YaHei" w:cs="Arial" w:ascii="Arial" w:hAnsi="Arial"/>
          <w:bCs/>
          <w:sz w:val="24"/>
          <w:szCs w:val="24"/>
        </w:rPr>
      </w:r>
    </w:p>
    <w:p>
      <w:pPr>
        <w:pStyle w:val="Heading1"/>
        <w:spacing w:before="0" w:after="240"/>
        <w:rPr>
          <w:rFonts w:ascii="Arial" w:hAnsi="Arial" w:eastAsia="Microsoft YaHei" w:cs="Arial"/>
          <w:bCs/>
          <w:sz w:val="24"/>
          <w:szCs w:val="24"/>
        </w:rPr>
      </w:pPr>
      <w:r>
        <w:rPr>
          <w:rFonts w:eastAsia="Microsoft YaHei" w:cs="Arial" w:ascii="Arial" w:hAnsi="Arial"/>
          <w:bCs/>
          <w:sz w:val="24"/>
          <w:szCs w:val="24"/>
        </w:rPr>
      </w:r>
    </w:p>
    <w:p>
      <w:pPr>
        <w:pStyle w:val="Heading1"/>
        <w:spacing w:before="0" w:after="240"/>
        <w:rPr>
          <w:rFonts w:ascii="Arial" w:hAnsi="Arial" w:eastAsia="Microsoft YaHei" w:cs="Arial"/>
          <w:bCs/>
          <w:sz w:val="24"/>
          <w:szCs w:val="24"/>
        </w:rPr>
      </w:pPr>
      <w:r>
        <w:rPr>
          <w:rFonts w:eastAsia="Microsoft YaHei" w:cs="Arial" w:ascii="Arial" w:hAnsi="Arial"/>
          <w:bCs/>
          <w:sz w:val="24"/>
          <w:szCs w:val="24"/>
        </w:rPr>
      </w:r>
    </w:p>
    <w:p>
      <w:pPr>
        <w:pStyle w:val="Heading1"/>
        <w:spacing w:before="0" w:after="240"/>
        <w:rPr>
          <w:rFonts w:ascii="Arial" w:hAnsi="Arial" w:eastAsia="Microsoft YaHei" w:cs="Arial"/>
          <w:bCs/>
          <w:sz w:val="24"/>
          <w:szCs w:val="24"/>
        </w:rPr>
      </w:pPr>
      <w:r>
        <w:rPr>
          <w:rFonts w:eastAsia="Microsoft YaHei" w:cs="Arial" w:ascii="Arial" w:hAnsi="Arial"/>
          <w:bCs/>
          <w:sz w:val="24"/>
          <w:szCs w:val="24"/>
        </w:rPr>
      </w:r>
    </w:p>
    <w:p>
      <w:pPr>
        <w:pStyle w:val="Heading1"/>
        <w:spacing w:before="0" w:after="240"/>
        <w:rPr>
          <w:rFonts w:ascii="Arial" w:hAnsi="Arial" w:eastAsia="Microsoft YaHei" w:cs="Arial"/>
          <w:bCs/>
          <w:sz w:val="24"/>
          <w:szCs w:val="24"/>
        </w:rPr>
      </w:pPr>
      <w:r>
        <w:rPr>
          <w:rFonts w:eastAsia="Microsoft YaHei" w:cs="Arial" w:ascii="Arial" w:hAnsi="Arial"/>
          <w:bCs/>
          <w:sz w:val="24"/>
          <w:szCs w:val="24"/>
        </w:rPr>
      </w:r>
    </w:p>
    <w:p>
      <w:pPr>
        <w:pStyle w:val="Heading1"/>
        <w:spacing w:before="0" w:after="240"/>
        <w:rPr>
          <w:rFonts w:ascii="Arial" w:hAnsi="Arial" w:eastAsia="Microsoft YaHei" w:cs="Arial"/>
          <w:bCs/>
          <w:sz w:val="24"/>
          <w:szCs w:val="24"/>
        </w:rPr>
      </w:pPr>
      <w:r>
        <w:rPr>
          <w:rFonts w:eastAsia="Microsoft YaHei" w:cs="Arial" w:ascii="Arial" w:hAnsi="Arial"/>
          <w:bCs/>
          <w:sz w:val="24"/>
          <w:szCs w:val="24"/>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BodyText"/>
        <w:bidi w:val="0"/>
        <w:spacing w:before="0" w:after="240"/>
        <w:jc w:val="start"/>
        <w:rPr>
          <w:rFonts w:ascii="Arial" w:hAnsi="Arial" w:eastAsia="Microsoft YaHei" w:cs="Arial"/>
          <w:b/>
          <w:bCs/>
        </w:rPr>
      </w:pPr>
      <w:r>
        <w:rPr>
          <w:rFonts w:eastAsia="Microsoft YaHei" w:cs="Arial" w:ascii="Arial" w:hAnsi="Arial"/>
          <w:b/>
          <w:bCs/>
        </w:rPr>
      </w:r>
    </w:p>
    <w:p>
      <w:pPr>
        <w:pStyle w:val="Heading1"/>
        <w:spacing w:before="0" w:after="240"/>
        <w:rPr>
          <w:rFonts w:ascii="Arial" w:hAnsi="Arial" w:eastAsia="Microsoft YaHei" w:cs="Arial"/>
          <w:bCs/>
          <w:sz w:val="20"/>
          <w:szCs w:val="20"/>
        </w:rPr>
      </w:pPr>
      <w:r>
        <w:rPr>
          <w:rFonts w:eastAsia="Microsoft YaHei" w:cs="Arial" w:ascii="Arial" w:hAnsi="Arial"/>
          <w:bCs/>
          <w:sz w:val="20"/>
          <w:szCs w:val="20"/>
        </w:rPr>
      </w:r>
    </w:p>
    <w:p>
      <w:pPr>
        <w:pStyle w:val="Normal"/>
        <w:bidi w:val="0"/>
        <w:spacing w:before="0" w:after="240"/>
        <w:jc w:val="start"/>
        <w:rPr>
          <w:rFonts w:ascii="Arial" w:hAnsi="Arial" w:eastAsia="Microsoft YaHei" w:cs="Arial"/>
          <w:bCs/>
          <w:sz w:val="20"/>
          <w:szCs w:val="20"/>
        </w:rPr>
      </w:pPr>
      <w:r>
        <w:rPr>
          <w:rFonts w:eastAsia="Microsoft YaHei" w:cs="Arial" w:ascii="Arial" w:hAnsi="Arial"/>
          <w:bCs/>
          <w:sz w:val="20"/>
          <w:szCs w:val="20"/>
        </w:rPr>
      </w:r>
    </w:p>
    <w:p>
      <w:pPr>
        <w:pStyle w:val="Heading7"/>
        <w:numPr>
          <w:ilvl w:val="0"/>
          <w:numId w:val="0"/>
        </w:numPr>
        <w:bidi w:val="0"/>
        <w:ind w:hanging="0" w:start="0"/>
        <w:jc w:val="start"/>
        <w:rPr/>
      </w:pPr>
      <w:bookmarkStart w:id="4" w:name="__RefHeading___Toc2721_1225741152"/>
      <w:bookmarkStart w:id="5" w:name="_Toc230101614"/>
      <w:bookmarkEnd w:id="4"/>
      <w:r>
        <w:rPr/>
        <w:t>PREMESSA</w:t>
      </w:r>
      <w:bookmarkEnd w:id="5"/>
    </w:p>
    <w:p>
      <w:pPr>
        <w:pStyle w:val="BodyText"/>
        <w:bidi w:val="0"/>
        <w:jc w:val="both"/>
        <w:rPr>
          <w:rFonts w:ascii="Arial" w:hAnsi="Arial" w:cs="Arial"/>
          <w:sz w:val="20"/>
          <w:szCs w:val="20"/>
        </w:rPr>
      </w:pPr>
      <w:r>
        <w:rPr>
          <w:rFonts w:cs="Arial" w:ascii="Arial" w:hAnsi="Arial"/>
          <w:sz w:val="20"/>
          <w:szCs w:val="20"/>
        </w:rPr>
        <w:t>Il presente schema di relazione tecnico-economica finale sulla realizzazione dell’intervento è da intendersi come traccia da seguire per la redazione di un elaborato che descriva in modo esaustivo il progetto che è stato realizzato beneficiando dell’agevolazione regionale prevista dal Bando.</w:t>
      </w:r>
    </w:p>
    <w:p>
      <w:pPr>
        <w:pStyle w:val="BodyText"/>
        <w:bidi w:val="0"/>
        <w:jc w:val="both"/>
        <w:rPr/>
      </w:pPr>
      <w:r>
        <w:rPr>
          <w:rStyle w:val="DefaultParagraphFont"/>
          <w:rFonts w:cs="Arial" w:ascii="Arial" w:hAnsi="Arial"/>
          <w:sz w:val="20"/>
          <w:szCs w:val="20"/>
        </w:rPr>
        <w:t xml:space="preserve">Tale relazione, documento obbligatorio </w:t>
      </w:r>
      <w:r>
        <w:rPr>
          <w:rStyle w:val="DefaultParagraphFont"/>
          <w:rFonts w:cs="Arial" w:ascii="Arial" w:hAnsi="Arial"/>
          <w:sz w:val="20"/>
          <w:szCs w:val="20"/>
          <w:u w:val="single"/>
        </w:rPr>
        <w:t>da allegare alla rendicontazione finale del progetto ai sensi del paragrafo 3.6 del Bando unitamente alla restante documentazione ivi prevista</w:t>
      </w:r>
      <w:r>
        <w:rPr>
          <w:rStyle w:val="DefaultParagraphFont"/>
          <w:rFonts w:cs="Arial" w:ascii="Arial" w:hAnsi="Arial"/>
          <w:sz w:val="20"/>
          <w:szCs w:val="20"/>
        </w:rPr>
        <w:t xml:space="preserve">, deve giustificare esplicitamente il rispetto dei requisiti di ammissibilità previsti dai paragrafi 2.2 e </w:t>
      </w:r>
      <w:r>
        <w:rPr>
          <w:rStyle w:val="DefaultParagraphFont"/>
          <w:rFonts w:cs="Arial" w:ascii="Arial" w:hAnsi="Arial"/>
          <w:color w:val="000000"/>
          <w:sz w:val="20"/>
          <w:szCs w:val="20"/>
        </w:rPr>
        <w:t xml:space="preserve">2.3 del Bando e la coerenza con i dati inseriti nella Relazione Tecnico-Economica di Sintesi (di cui all’ Allegato 6) </w:t>
      </w:r>
      <w:r>
        <w:rPr>
          <w:rStyle w:val="DefaultParagraphFont"/>
          <w:rFonts w:cs="Arial" w:ascii="Arial" w:hAnsi="Arial"/>
          <w:sz w:val="20"/>
          <w:szCs w:val="20"/>
        </w:rPr>
        <w:t>inviati unitamente alla domanda di agevolazione.</w:t>
      </w:r>
    </w:p>
    <w:p>
      <w:pPr>
        <w:pStyle w:val="Heading7"/>
        <w:bidi w:val="0"/>
        <w:ind w:hanging="0" w:start="0"/>
        <w:jc w:val="start"/>
        <w:rPr/>
      </w:pPr>
      <w:r>
        <w:rPr/>
      </w:r>
    </w:p>
    <w:p>
      <w:pPr>
        <w:pStyle w:val="Heading7"/>
        <w:bidi w:val="0"/>
        <w:ind w:hanging="0" w:start="0"/>
        <w:jc w:val="start"/>
        <w:rPr/>
      </w:pPr>
      <w:r>
        <w:rPr/>
      </w:r>
    </w:p>
    <w:p>
      <w:pPr>
        <w:pStyle w:val="Heading7"/>
        <w:bidi w:val="0"/>
        <w:ind w:hanging="0" w:start="0"/>
        <w:jc w:val="start"/>
        <w:rPr/>
      </w:pPr>
      <w:bookmarkStart w:id="6" w:name="__RefHeading___Toc5660_2724914010"/>
      <w:bookmarkStart w:id="7" w:name="_Toc230101615"/>
      <w:bookmarkEnd w:id="6"/>
      <w:r>
        <w:rPr/>
        <w:t>1. SINTESI DEGLI INTERVENTI</w:t>
      </w:r>
      <w:bookmarkEnd w:id="7"/>
    </w:p>
    <w:p>
      <w:pPr>
        <w:pStyle w:val="BodyText"/>
        <w:bidi w:val="0"/>
        <w:jc w:val="both"/>
        <w:rPr/>
      </w:pPr>
      <w:r>
        <w:rPr>
          <w:rStyle w:val="DefaultParagraphFont"/>
          <w:rFonts w:cs="Arial" w:ascii="Arial" w:hAnsi="Arial"/>
          <w:sz w:val="20"/>
          <w:szCs w:val="20"/>
        </w:rPr>
        <w:t xml:space="preserve">Riportare un breve inquadramento territoriale e urbanistico </w:t>
      </w:r>
      <w:r>
        <w:rPr>
          <w:rStyle w:val="DefaultParagraphFont"/>
          <w:rFonts w:cs="Arial" w:ascii="Arial" w:hAnsi="Arial"/>
          <w:color w:val="000000"/>
          <w:sz w:val="20"/>
          <w:szCs w:val="20"/>
        </w:rPr>
        <w:t>dell’area/delle aree interessata/e dalla realizzazione del progetto, coerentemente alla tipologia di interventi realizzati, evidenziandone le cara</w:t>
      </w:r>
      <w:r>
        <w:rPr>
          <w:rStyle w:val="DefaultParagraphFont"/>
          <w:rFonts w:cs="Arial" w:ascii="Arial" w:hAnsi="Arial"/>
          <w:sz w:val="20"/>
          <w:szCs w:val="20"/>
        </w:rPr>
        <w:t>tteristiche maggiormente rilevanti. Riportare una breve sintesi delle attività realizzate, degli eventuali scostamenti rispetto al piano di lavoro presentato in fase di domanda, che si sono resi necessari per problemi di carattere tecnico o gestionale.</w:t>
      </w:r>
    </w:p>
    <w:p>
      <w:pPr>
        <w:pStyle w:val="Heading7"/>
        <w:bidi w:val="0"/>
        <w:ind w:hanging="0" w:start="0"/>
        <w:jc w:val="start"/>
        <w:rPr/>
      </w:pPr>
      <w:r>
        <w:rPr/>
      </w:r>
    </w:p>
    <w:p>
      <w:pPr>
        <w:pStyle w:val="Heading7"/>
        <w:bidi w:val="0"/>
        <w:ind w:hanging="0" w:start="0"/>
        <w:jc w:val="start"/>
        <w:rPr/>
      </w:pPr>
      <w:r>
        <w:rPr/>
      </w:r>
    </w:p>
    <w:p>
      <w:pPr>
        <w:pStyle w:val="Heading7"/>
        <w:bidi w:val="0"/>
        <w:ind w:hanging="0" w:start="0"/>
        <w:jc w:val="start"/>
        <w:rPr/>
      </w:pPr>
      <w:bookmarkStart w:id="8" w:name="__RefHeading___Toc5662_2724914010"/>
      <w:bookmarkStart w:id="9" w:name="_Toc230101616"/>
      <w:bookmarkEnd w:id="8"/>
      <w:r>
        <w:rPr/>
        <w:t>2. CARATTERISTICHE DELL’INTERVENTO</w:t>
      </w:r>
      <w:bookmarkEnd w:id="9"/>
    </w:p>
    <w:p>
      <w:pPr>
        <w:pStyle w:val="Heading8"/>
        <w:bidi w:val="0"/>
        <w:ind w:hanging="0" w:start="0"/>
        <w:jc w:val="start"/>
        <w:rPr/>
      </w:pPr>
      <w:r>
        <w:rPr/>
      </w:r>
    </w:p>
    <w:p>
      <w:pPr>
        <w:pStyle w:val="Heading8"/>
        <w:bidi w:val="0"/>
        <w:ind w:hanging="0" w:start="0"/>
        <w:jc w:val="start"/>
        <w:rPr/>
      </w:pPr>
      <w:bookmarkStart w:id="10" w:name="__RefHeading___Toc5664_2724914010"/>
      <w:bookmarkStart w:id="11" w:name="_Toc230101617"/>
      <w:bookmarkEnd w:id="10"/>
      <w:r>
        <w:rPr/>
        <w:t>2.1 Informazioni generali</w:t>
      </w:r>
      <w:bookmarkEnd w:id="11"/>
    </w:p>
    <w:p>
      <w:pPr>
        <w:pStyle w:val="BodyText"/>
        <w:bidi w:val="0"/>
        <w:jc w:val="start"/>
        <w:rPr/>
      </w:pPr>
      <w:r>
        <w:rPr/>
      </w:r>
    </w:p>
    <w:p>
      <w:pPr>
        <w:pStyle w:val="BodyText"/>
        <w:bidi w:val="0"/>
        <w:jc w:val="both"/>
        <w:rPr/>
      </w:pPr>
      <w:r>
        <w:rPr>
          <w:rStyle w:val="DefaultParagraphFont"/>
          <w:rFonts w:cs="Arial" w:ascii="Arial" w:hAnsi="Arial"/>
          <w:sz w:val="20"/>
          <w:szCs w:val="20"/>
        </w:rPr>
        <w:t xml:space="preserve">Riportare fotografie dell’intervento durante le principali fasi di cantiere e al termine della realizzazione,  </w:t>
      </w:r>
      <w:r>
        <w:rPr>
          <w:rStyle w:val="DefaultParagraphFont"/>
          <w:rFonts w:cs="Arial" w:ascii="Arial" w:hAnsi="Arial"/>
          <w:color w:val="000000"/>
          <w:sz w:val="20"/>
          <w:szCs w:val="20"/>
        </w:rPr>
        <w:t>elaborato cartografico generale del progetto realizzato in formato .shp e,</w:t>
      </w:r>
      <w:r>
        <w:rPr>
          <w:rStyle w:val="DefaultParagraphFont"/>
          <w:rFonts w:cs="Arial" w:ascii="Arial" w:hAnsi="Arial"/>
          <w:sz w:val="20"/>
          <w:szCs w:val="20"/>
        </w:rPr>
        <w:t xml:space="preserve"> qualora difformi dagli elaborati allegati alla domanda di agevolazione, </w:t>
      </w:r>
      <w:r>
        <w:rPr>
          <w:rStyle w:val="DefaultParagraphFont"/>
          <w:rFonts w:cs="Arial" w:ascii="Arial" w:hAnsi="Arial"/>
          <w:color w:val="000000"/>
          <w:sz w:val="20"/>
          <w:szCs w:val="20"/>
        </w:rPr>
        <w:t>allegare elaborati grafici significativi quali ad es. planimetrie, sezioni,</w:t>
      </w:r>
      <w:r>
        <w:rPr>
          <w:rStyle w:val="DefaultParagraphFont"/>
          <w:rFonts w:cs="Arial" w:ascii="Arial" w:hAnsi="Arial"/>
          <w:sz w:val="20"/>
          <w:szCs w:val="20"/>
        </w:rPr>
        <w:t xml:space="preserve"> etc. </w:t>
      </w:r>
      <w:r>
        <w:rPr>
          <w:rFonts w:cs="Arial" w:ascii="Arial" w:hAnsi="Arial"/>
          <w:sz w:val="20"/>
          <w:szCs w:val="20"/>
        </w:rPr>
        <w:t>Descrivere dettagliatamente:</w:t>
      </w:r>
    </w:p>
    <w:p>
      <w:pPr>
        <w:pStyle w:val="BodyText"/>
        <w:numPr>
          <w:ilvl w:val="0"/>
          <w:numId w:val="5"/>
        </w:numPr>
        <w:bidi w:val="0"/>
        <w:jc w:val="both"/>
        <w:rPr/>
      </w:pPr>
      <w:r>
        <w:rPr>
          <w:rStyle w:val="DefaultParagraphFont"/>
          <w:rFonts w:cs="Arial" w:ascii="Arial" w:hAnsi="Arial"/>
          <w:sz w:val="20"/>
          <w:szCs w:val="20"/>
        </w:rPr>
        <w:t>l</w:t>
      </w:r>
      <w:r>
        <w:rPr>
          <w:rStyle w:val="DefaultParagraphFont"/>
          <w:rFonts w:cs="Arial" w:ascii="Arial" w:hAnsi="Arial"/>
          <w:sz w:val="20"/>
          <w:szCs w:val="20"/>
          <w:u w:val="single"/>
        </w:rPr>
        <w:t>e caratteristiche tecniche degli interventi,</w:t>
      </w:r>
      <w:r>
        <w:rPr>
          <w:rStyle w:val="DefaultParagraphFont"/>
          <w:rFonts w:cs="Arial" w:ascii="Arial" w:hAnsi="Arial"/>
          <w:sz w:val="20"/>
          <w:szCs w:val="20"/>
        </w:rPr>
        <w:t xml:space="preserve"> evidenziando tutti gli aspetti che li rendono rispondenti, sotto il profilo tecnologico e normativo, ai requisiti di ammissibilità previsti dal </w:t>
      </w:r>
      <w:r>
        <w:rPr>
          <w:rStyle w:val="DefaultParagraphFont"/>
          <w:rFonts w:cs="Arial" w:ascii="Arial" w:hAnsi="Arial"/>
          <w:color w:val="000000"/>
          <w:sz w:val="20"/>
          <w:szCs w:val="20"/>
        </w:rPr>
        <w:t>Bando e a tutti i requisiti previsti dalla normativa vigente (es. Criteri Ambientali Minimi);</w:t>
      </w:r>
    </w:p>
    <w:p>
      <w:pPr>
        <w:pStyle w:val="BodyText"/>
        <w:numPr>
          <w:ilvl w:val="0"/>
          <w:numId w:val="2"/>
        </w:numPr>
        <w:bidi w:val="0"/>
        <w:jc w:val="both"/>
        <w:rPr/>
      </w:pPr>
      <w:r>
        <w:rPr>
          <w:rStyle w:val="DefaultParagraphFont"/>
          <w:rFonts w:cs="Arial" w:ascii="Arial" w:hAnsi="Arial"/>
          <w:color w:val="000000"/>
          <w:sz w:val="20"/>
          <w:szCs w:val="20"/>
          <w:u w:val="single"/>
        </w:rPr>
        <w:t>gl</w:t>
      </w:r>
      <w:r>
        <w:rPr>
          <w:rStyle w:val="DefaultParagraphFont"/>
          <w:rFonts w:cs="Arial" w:ascii="Arial" w:hAnsi="Arial"/>
          <w:sz w:val="20"/>
          <w:szCs w:val="20"/>
          <w:u w:val="single"/>
        </w:rPr>
        <w:t>i eventuali aspetti che rendono innovativo l’intervento realizzato</w:t>
      </w:r>
      <w:r>
        <w:rPr>
          <w:rStyle w:val="DefaultParagraphFont"/>
          <w:rFonts w:cs="Arial" w:ascii="Arial" w:hAnsi="Arial"/>
          <w:sz w:val="20"/>
          <w:szCs w:val="20"/>
        </w:rPr>
        <w:t xml:space="preserve"> sotto il profilo tecnologico e/o gestionale e/o dell’eco-compatibilità dei materiali utilizzati, anche con riferimento alla replicabilità dell’intervento in contesti analoghi.</w:t>
      </w:r>
    </w:p>
    <w:p>
      <w:pPr>
        <w:pStyle w:val="BodyText"/>
        <w:bidi w:val="0"/>
        <w:jc w:val="both"/>
        <w:rPr/>
      </w:pPr>
      <w:r>
        <w:rPr>
          <w:rStyle w:val="DefaultParagraphFont"/>
          <w:rFonts w:cs="Arial" w:ascii="Arial" w:hAnsi="Arial"/>
          <w:sz w:val="20"/>
          <w:szCs w:val="20"/>
        </w:rPr>
        <w:t xml:space="preserve">Il beneficiario dovrà inoltre descrivere </w:t>
      </w:r>
      <w:r>
        <w:rPr>
          <w:rStyle w:val="DefaultParagraphFont"/>
          <w:rFonts w:cs="Arial" w:ascii="Arial" w:hAnsi="Arial"/>
          <w:sz w:val="20"/>
          <w:szCs w:val="20"/>
          <w:u w:val="single"/>
        </w:rPr>
        <w:t>eventuali variazioni tecniche degli interventi previsti</w:t>
      </w:r>
      <w:r>
        <w:rPr>
          <w:rStyle w:val="DefaultParagraphFont"/>
          <w:rFonts w:cs="Arial" w:ascii="Arial" w:hAnsi="Arial"/>
          <w:sz w:val="20"/>
          <w:szCs w:val="20"/>
        </w:rPr>
        <w:t>, occorse in fase di realizzazione, rispetto al progetto approvato dalla Regione in sede di istruttoria della domanda di agevolazione.</w:t>
      </w:r>
    </w:p>
    <w:p>
      <w:pPr>
        <w:pStyle w:val="Heading8"/>
        <w:bidi w:val="0"/>
        <w:ind w:hanging="0" w:start="0"/>
        <w:jc w:val="start"/>
        <w:rPr/>
      </w:pPr>
      <w:r>
        <w:rPr/>
      </w:r>
    </w:p>
    <w:p>
      <w:pPr>
        <w:pStyle w:val="Heading8"/>
        <w:bidi w:val="0"/>
        <w:ind w:hanging="0" w:start="0"/>
        <w:jc w:val="start"/>
        <w:rPr/>
      </w:pPr>
      <w:bookmarkStart w:id="12" w:name="__RefHeading___Toc5666_2724914010"/>
      <w:bookmarkStart w:id="13" w:name="_Toc230101618"/>
      <w:bookmarkEnd w:id="12"/>
      <w:r>
        <w:rPr/>
        <w:t>2.2 Risultati conseguiti</w:t>
      </w:r>
      <w:bookmarkEnd w:id="13"/>
    </w:p>
    <w:p>
      <w:pPr>
        <w:pStyle w:val="BodyText"/>
        <w:bidi w:val="0"/>
        <w:jc w:val="start"/>
        <w:rPr/>
      </w:pPr>
      <w:r>
        <w:rPr/>
      </w:r>
    </w:p>
    <w:p>
      <w:pPr>
        <w:pStyle w:val="BodyText"/>
        <w:bidi w:val="0"/>
        <w:jc w:val="both"/>
        <w:rPr/>
      </w:pPr>
      <w:r>
        <w:rPr>
          <w:rStyle w:val="DefaultParagraphFont"/>
          <w:rFonts w:cs="Arial" w:ascii="Arial" w:hAnsi="Arial"/>
          <w:sz w:val="20"/>
          <w:szCs w:val="20"/>
        </w:rPr>
        <w:t xml:space="preserve">Riportare in questa sezione i risultati conseguiti in termini di raggiungimento degli obiettivi del progetto approvato. </w:t>
      </w:r>
      <w:r>
        <w:rPr>
          <w:rStyle w:val="DefaultParagraphFont"/>
          <w:rFonts w:cs="Arial" w:ascii="Arial" w:hAnsi="Arial"/>
          <w:sz w:val="20"/>
          <w:szCs w:val="20"/>
        </w:rPr>
        <w:t>E’</w:t>
      </w:r>
      <w:r>
        <w:rPr>
          <w:rStyle w:val="DefaultParagraphFont"/>
          <w:rFonts w:cs="Arial" w:ascii="Arial" w:hAnsi="Arial"/>
          <w:color w:val="000000"/>
          <w:sz w:val="20"/>
          <w:szCs w:val="20"/>
        </w:rPr>
        <w:t xml:space="preserve"> necessario documentare i risultati conseguiti, </w:t>
      </w:r>
      <w:r>
        <w:rPr>
          <w:rStyle w:val="DefaultParagraphFont"/>
          <w:rFonts w:cs="Arial" w:ascii="Arial" w:hAnsi="Arial"/>
          <w:color w:val="000000"/>
          <w:sz w:val="20"/>
          <w:szCs w:val="20"/>
        </w:rPr>
        <w:t>sintetizzandoli</w:t>
      </w:r>
      <w:r>
        <w:rPr>
          <w:rStyle w:val="DefaultParagraphFont"/>
          <w:rFonts w:cs="Arial" w:ascii="Arial" w:hAnsi="Arial"/>
          <w:color w:val="000000"/>
          <w:sz w:val="20"/>
          <w:szCs w:val="20"/>
        </w:rPr>
        <w:t xml:space="preserve"> nella tabella qui di seguito riportata </w:t>
      </w:r>
      <w:r>
        <w:rPr>
          <w:rStyle w:val="DefaultParagraphFont"/>
          <w:rFonts w:cs="Arial" w:ascii="Arial" w:hAnsi="Arial"/>
          <w:color w:val="000000"/>
          <w:sz w:val="20"/>
          <w:szCs w:val="20"/>
        </w:rPr>
        <w:t>coerentemente con gli indicatori definiti al paragrafo 5 dell’allegato 6 “Schema di relazione tecnico-economica”.</w:t>
      </w:r>
    </w:p>
    <w:p>
      <w:pPr>
        <w:pStyle w:val="BodyText"/>
        <w:bidi w:val="0"/>
        <w:jc w:val="both"/>
        <w:rPr>
          <w:rStyle w:val="DefaultParagraphFont"/>
          <w:rFonts w:ascii="Arial" w:hAnsi="Arial" w:cs="Arial"/>
          <w:color w:val="000000"/>
          <w:sz w:val="20"/>
          <w:szCs w:val="20"/>
        </w:rPr>
      </w:pPr>
      <w:r>
        <w:rPr/>
      </w:r>
    </w:p>
    <w:p>
      <w:pPr>
        <w:pStyle w:val="BodyText"/>
        <w:bidi w:val="0"/>
        <w:jc w:val="both"/>
        <w:rPr>
          <w:rStyle w:val="DefaultParagraphFont"/>
          <w:rFonts w:ascii="Arial" w:hAnsi="Arial" w:cs="Arial"/>
          <w:color w:val="000000"/>
          <w:sz w:val="20"/>
          <w:szCs w:val="20"/>
        </w:rPr>
      </w:pPr>
      <w:r>
        <w:rPr/>
      </w:r>
    </w:p>
    <w:p>
      <w:pPr>
        <w:pStyle w:val="BodyText"/>
        <w:bidi w:val="0"/>
        <w:jc w:val="both"/>
        <w:rPr>
          <w:rStyle w:val="DefaultParagraphFont"/>
          <w:rFonts w:ascii="Arial" w:hAnsi="Arial" w:cs="Arial"/>
          <w:color w:val="000000"/>
          <w:sz w:val="20"/>
          <w:szCs w:val="20"/>
        </w:rPr>
      </w:pPr>
      <w:r>
        <w:rPr/>
      </w:r>
    </w:p>
    <w:p>
      <w:pPr>
        <w:pStyle w:val="BodyText"/>
        <w:bidi w:val="0"/>
        <w:jc w:val="start"/>
        <w:rPr>
          <w:rFonts w:ascii="Arial" w:hAnsi="Arial" w:cs="Arial"/>
          <w:sz w:val="20"/>
          <w:szCs w:val="20"/>
        </w:rPr>
      </w:pPr>
      <w:r>
        <w:rPr>
          <w:rFonts w:cs="Arial" w:ascii="Arial" w:hAnsi="Arial"/>
          <w:sz w:val="20"/>
          <w:szCs w:val="20"/>
        </w:rPr>
        <w:t>[esempio tabella sintetica descrittiva degli indicatori:]</w:t>
      </w:r>
    </w:p>
    <w:tbl>
      <w:tblPr>
        <w:tblW w:w="8943" w:type="dxa"/>
        <w:jc w:val="start"/>
        <w:tblInd w:w="-54" w:type="dxa"/>
        <w:tblLayout w:type="fixed"/>
        <w:tblCellMar>
          <w:top w:w="0" w:type="dxa"/>
          <w:start w:w="70" w:type="dxa"/>
          <w:bottom w:w="0" w:type="dxa"/>
          <w:end w:w="70" w:type="dxa"/>
        </w:tblCellMar>
      </w:tblPr>
      <w:tblGrid>
        <w:gridCol w:w="2400"/>
        <w:gridCol w:w="1185"/>
        <w:gridCol w:w="1755"/>
        <w:gridCol w:w="1737"/>
        <w:gridCol w:w="1866"/>
      </w:tblGrid>
      <w:tr>
        <w:trPr/>
        <w:tc>
          <w:tcPr>
            <w:tcW w:w="2400" w:type="dxa"/>
            <w:vMerge w:val="restart"/>
            <w:tcBorders>
              <w:top w:val="single" w:sz="4" w:space="0" w:color="000000"/>
              <w:start w:val="single" w:sz="4" w:space="0" w:color="000000"/>
              <w:bottom w:val="single" w:sz="4" w:space="0" w:color="000000"/>
            </w:tcBorders>
            <w:vAlign w:val="center"/>
          </w:tcPr>
          <w:p>
            <w:pPr>
              <w:pStyle w:val="BodyText"/>
              <w:bidi w:val="0"/>
              <w:spacing w:before="0" w:after="62"/>
              <w:jc w:val="both"/>
              <w:rPr>
                <w:rFonts w:ascii="Arial" w:hAnsi="Arial" w:cs="Arial"/>
                <w:b/>
                <w:bCs/>
                <w:sz w:val="20"/>
                <w:szCs w:val="20"/>
              </w:rPr>
            </w:pPr>
            <w:r>
              <w:rPr>
                <w:rFonts w:cs="Arial" w:ascii="Arial" w:hAnsi="Arial"/>
                <w:b/>
                <w:bCs/>
                <w:sz w:val="20"/>
                <w:szCs w:val="20"/>
              </w:rPr>
              <w:t>Descrizione indicatore</w:t>
            </w:r>
          </w:p>
        </w:tc>
        <w:tc>
          <w:tcPr>
            <w:tcW w:w="1185" w:type="dxa"/>
            <w:vMerge w:val="restart"/>
            <w:tcBorders>
              <w:top w:val="single" w:sz="4" w:space="0" w:color="000000"/>
              <w:start w:val="single" w:sz="4" w:space="0" w:color="000000"/>
              <w:bottom w:val="single" w:sz="4" w:space="0" w:color="000000"/>
            </w:tcBorders>
            <w:vAlign w:val="center"/>
          </w:tcPr>
          <w:p>
            <w:pPr>
              <w:pStyle w:val="BodyText"/>
              <w:bidi w:val="0"/>
              <w:spacing w:before="0" w:after="62"/>
              <w:jc w:val="both"/>
              <w:rPr>
                <w:rFonts w:ascii="Arial" w:hAnsi="Arial" w:cs="Arial"/>
                <w:b/>
                <w:bCs/>
                <w:sz w:val="20"/>
                <w:szCs w:val="20"/>
              </w:rPr>
            </w:pPr>
            <w:r>
              <w:rPr>
                <w:rFonts w:cs="Arial" w:ascii="Arial" w:hAnsi="Arial"/>
                <w:b/>
                <w:bCs/>
                <w:sz w:val="20"/>
                <w:szCs w:val="20"/>
              </w:rPr>
              <w:t>Unità di misura</w:t>
            </w:r>
          </w:p>
        </w:tc>
        <w:tc>
          <w:tcPr>
            <w:tcW w:w="3492" w:type="dxa"/>
            <w:gridSpan w:val="2"/>
            <w:tcBorders>
              <w:top w:val="single" w:sz="4" w:space="0" w:color="000000"/>
              <w:start w:val="single" w:sz="4" w:space="0" w:color="000000"/>
              <w:bottom w:val="single" w:sz="4" w:space="0" w:color="000000"/>
            </w:tcBorders>
            <w:vAlign w:val="center"/>
          </w:tcPr>
          <w:p>
            <w:pPr>
              <w:pStyle w:val="BodyText"/>
              <w:bidi w:val="0"/>
              <w:spacing w:before="0" w:after="62"/>
              <w:jc w:val="both"/>
              <w:rPr/>
            </w:pPr>
            <w:r>
              <w:rPr>
                <w:rStyle w:val="DefaultParagraphFont"/>
                <w:rFonts w:cs="Arial" w:ascii="Arial" w:hAnsi="Arial"/>
                <w:b/>
                <w:bCs/>
                <w:sz w:val="20"/>
                <w:szCs w:val="20"/>
              </w:rPr>
              <w:t>Ante intervento (situazione “di progetto”</w:t>
            </w:r>
            <w:r>
              <w:rPr>
                <w:rStyle w:val="Caratterenotaapidipagina"/>
                <w:rStyle w:val="FootnoteReference"/>
                <w:rFonts w:cs="Arial" w:ascii="Arial" w:hAnsi="Arial"/>
                <w:b/>
                <w:bCs/>
                <w:sz w:val="20"/>
                <w:szCs w:val="20"/>
              </w:rPr>
              <w:footnoteReference w:id="2"/>
            </w:r>
            <w:r>
              <w:rPr>
                <w:rStyle w:val="DefaultParagraphFont"/>
                <w:rFonts w:cs="Arial" w:ascii="Arial" w:hAnsi="Arial"/>
                <w:b/>
                <w:bCs/>
                <w:sz w:val="20"/>
                <w:szCs w:val="20"/>
              </w:rPr>
              <w:t>)</w:t>
            </w:r>
          </w:p>
        </w:tc>
        <w:tc>
          <w:tcPr>
            <w:tcW w:w="1866" w:type="dxa"/>
            <w:vMerge w:val="restart"/>
            <w:tcBorders>
              <w:top w:val="single" w:sz="4" w:space="0" w:color="000000"/>
              <w:start w:val="single" w:sz="4" w:space="0" w:color="000000"/>
              <w:bottom w:val="single" w:sz="4" w:space="0" w:color="000000"/>
              <w:end w:val="single" w:sz="4" w:space="0" w:color="000000"/>
            </w:tcBorders>
            <w:vAlign w:val="center"/>
          </w:tcPr>
          <w:p>
            <w:pPr>
              <w:pStyle w:val="BodyText"/>
              <w:bidi w:val="0"/>
              <w:spacing w:before="0" w:after="62"/>
              <w:jc w:val="both"/>
              <w:rPr>
                <w:rFonts w:ascii="Arial" w:hAnsi="Arial" w:cs="Arial"/>
                <w:b/>
                <w:bCs/>
                <w:sz w:val="20"/>
                <w:szCs w:val="20"/>
              </w:rPr>
            </w:pPr>
            <w:r>
              <w:rPr>
                <w:rFonts w:cs="Arial" w:ascii="Arial" w:hAnsi="Arial"/>
                <w:b/>
                <w:bCs/>
                <w:sz w:val="20"/>
                <w:szCs w:val="20"/>
              </w:rPr>
              <w:t>Post intervento (situazione “ad intervento realizzato”)</w:t>
            </w:r>
          </w:p>
        </w:tc>
      </w:tr>
      <w:tr>
        <w:trPr/>
        <w:tc>
          <w:tcPr>
            <w:tcW w:w="2400" w:type="dxa"/>
            <w:vMerge w:val="continue"/>
            <w:tcBorders>
              <w:top w:val="single" w:sz="4" w:space="0" w:color="000000"/>
              <w:start w:val="single" w:sz="4" w:space="0" w:color="000000"/>
              <w:bottom w:val="single" w:sz="4" w:space="0" w:color="000000"/>
            </w:tcBorders>
            <w:vAlign w:val="center"/>
          </w:tcPr>
          <w:p>
            <w:pPr>
              <w:pStyle w:val="Normal"/>
              <w:bidi w:val="0"/>
              <w:jc w:val="start"/>
              <w:rPr/>
            </w:pPr>
            <w:r>
              <w:rPr/>
            </w:r>
          </w:p>
        </w:tc>
        <w:tc>
          <w:tcPr>
            <w:tcW w:w="1185" w:type="dxa"/>
            <w:vMerge w:val="continue"/>
            <w:tcBorders>
              <w:top w:val="single" w:sz="4" w:space="0" w:color="000000"/>
              <w:start w:val="single" w:sz="4" w:space="0" w:color="000000"/>
              <w:bottom w:val="single" w:sz="4" w:space="0" w:color="000000"/>
            </w:tcBorders>
            <w:vAlign w:val="center"/>
          </w:tcPr>
          <w:p>
            <w:pPr>
              <w:pStyle w:val="Normal"/>
              <w:bidi w:val="0"/>
              <w:jc w:val="start"/>
              <w:rPr/>
            </w:pPr>
            <w:r>
              <w:rPr/>
            </w:r>
          </w:p>
        </w:tc>
        <w:tc>
          <w:tcPr>
            <w:tcW w:w="1755" w:type="dxa"/>
            <w:tcBorders>
              <w:top w:val="single" w:sz="4" w:space="0" w:color="000000"/>
              <w:start w:val="single" w:sz="4" w:space="0" w:color="000000"/>
              <w:bottom w:val="single" w:sz="4" w:space="0" w:color="000000"/>
            </w:tcBorders>
            <w:vAlign w:val="center"/>
          </w:tcPr>
          <w:p>
            <w:pPr>
              <w:pStyle w:val="BodyText"/>
              <w:bidi w:val="0"/>
              <w:snapToGrid w:val="false"/>
              <w:spacing w:before="0" w:after="62"/>
              <w:jc w:val="both"/>
              <w:rPr>
                <w:rFonts w:ascii="Arial" w:hAnsi="Arial" w:cs="Arial"/>
                <w:b/>
                <w:bCs/>
                <w:sz w:val="20"/>
                <w:szCs w:val="20"/>
              </w:rPr>
            </w:pPr>
            <w:r>
              <w:rPr>
                <w:rFonts w:cs="Arial" w:ascii="Arial" w:hAnsi="Arial"/>
                <w:b/>
                <w:bCs/>
                <w:sz w:val="20"/>
                <w:szCs w:val="20"/>
              </w:rPr>
              <w:t>Valore baseline</w:t>
            </w:r>
          </w:p>
        </w:tc>
        <w:tc>
          <w:tcPr>
            <w:tcW w:w="1737" w:type="dxa"/>
            <w:tcBorders>
              <w:top w:val="single" w:sz="4" w:space="0" w:color="000000"/>
              <w:start w:val="single" w:sz="4" w:space="0" w:color="000000"/>
              <w:bottom w:val="single" w:sz="4" w:space="0" w:color="000000"/>
            </w:tcBorders>
            <w:vAlign w:val="center"/>
          </w:tcPr>
          <w:p>
            <w:pPr>
              <w:pStyle w:val="BodyText"/>
              <w:bidi w:val="0"/>
              <w:snapToGrid w:val="false"/>
              <w:spacing w:before="0" w:after="62"/>
              <w:jc w:val="both"/>
              <w:rPr>
                <w:rFonts w:ascii="Arial" w:hAnsi="Arial" w:cs="Arial"/>
                <w:b/>
                <w:bCs/>
                <w:sz w:val="20"/>
                <w:szCs w:val="20"/>
              </w:rPr>
            </w:pPr>
            <w:r>
              <w:rPr>
                <w:rFonts w:cs="Arial" w:ascii="Arial" w:hAnsi="Arial"/>
                <w:b/>
                <w:bCs/>
                <w:sz w:val="20"/>
                <w:szCs w:val="20"/>
              </w:rPr>
              <w:t>Valore atteso a fine progetto</w:t>
            </w:r>
          </w:p>
        </w:tc>
        <w:tc>
          <w:tcPr>
            <w:tcW w:w="1866" w:type="dxa"/>
            <w:vMerge w:val="continue"/>
            <w:tcBorders>
              <w:top w:val="single" w:sz="4" w:space="0" w:color="000000"/>
              <w:start w:val="single" w:sz="4" w:space="0" w:color="000000"/>
              <w:bottom w:val="single" w:sz="4" w:space="0" w:color="000000"/>
              <w:end w:val="single" w:sz="4" w:space="0" w:color="000000"/>
            </w:tcBorders>
            <w:vAlign w:val="center"/>
          </w:tcPr>
          <w:p>
            <w:pPr>
              <w:pStyle w:val="Normal"/>
              <w:bidi w:val="0"/>
              <w:jc w:val="start"/>
              <w:rPr/>
            </w:pPr>
            <w:r>
              <w:rPr/>
            </w:r>
          </w:p>
        </w:tc>
      </w:tr>
      <w:tr>
        <w:trPr/>
        <w:tc>
          <w:tcPr>
            <w:tcW w:w="2400" w:type="dxa"/>
            <w:tcBorders>
              <w:top w:val="single" w:sz="4" w:space="0" w:color="000000"/>
              <w:start w:val="single" w:sz="4" w:space="0" w:color="000000"/>
              <w:bottom w:val="single" w:sz="4" w:space="0" w:color="000000"/>
            </w:tcBorders>
            <w:vAlign w:val="center"/>
          </w:tcPr>
          <w:p>
            <w:pPr>
              <w:pStyle w:val="BodyText"/>
              <w:bidi w:val="0"/>
              <w:snapToGrid w:val="false"/>
              <w:spacing w:before="0" w:after="62"/>
              <w:jc w:val="both"/>
              <w:rPr>
                <w:rFonts w:ascii="Arial" w:hAnsi="Arial" w:cs="Arial"/>
                <w:sz w:val="20"/>
                <w:szCs w:val="20"/>
              </w:rPr>
            </w:pPr>
            <w:r>
              <w:rPr>
                <w:rFonts w:cs="Arial" w:ascii="Arial" w:hAnsi="Arial"/>
                <w:sz w:val="20"/>
                <w:szCs w:val="20"/>
              </w:rPr>
            </w:r>
          </w:p>
        </w:tc>
        <w:tc>
          <w:tcPr>
            <w:tcW w:w="1185" w:type="dxa"/>
            <w:tcBorders>
              <w:top w:val="single" w:sz="4" w:space="0" w:color="000000"/>
              <w:start w:val="single" w:sz="4" w:space="0" w:color="000000"/>
              <w:bottom w:val="single" w:sz="4" w:space="0" w:color="000000"/>
            </w:tcBorders>
            <w:vAlign w:val="center"/>
          </w:tcPr>
          <w:p>
            <w:pPr>
              <w:pStyle w:val="BodyText"/>
              <w:bidi w:val="0"/>
              <w:snapToGrid w:val="false"/>
              <w:spacing w:before="0" w:after="62"/>
              <w:jc w:val="both"/>
              <w:rPr>
                <w:rFonts w:ascii="Arial" w:hAnsi="Arial" w:cs="Arial"/>
                <w:sz w:val="20"/>
                <w:szCs w:val="20"/>
              </w:rPr>
            </w:pPr>
            <w:r>
              <w:rPr>
                <w:rFonts w:cs="Arial" w:ascii="Arial" w:hAnsi="Arial"/>
                <w:sz w:val="20"/>
                <w:szCs w:val="20"/>
              </w:rPr>
            </w:r>
          </w:p>
        </w:tc>
        <w:tc>
          <w:tcPr>
            <w:tcW w:w="1755" w:type="dxa"/>
            <w:tcBorders>
              <w:top w:val="single" w:sz="4" w:space="0" w:color="000000"/>
              <w:start w:val="single" w:sz="4" w:space="0" w:color="000000"/>
              <w:bottom w:val="single" w:sz="4" w:space="0" w:color="000000"/>
            </w:tcBorders>
            <w:vAlign w:val="center"/>
          </w:tcPr>
          <w:p>
            <w:pPr>
              <w:pStyle w:val="BodyText"/>
              <w:bidi w:val="0"/>
              <w:snapToGrid w:val="false"/>
              <w:spacing w:before="0" w:after="62"/>
              <w:jc w:val="both"/>
              <w:rPr>
                <w:rFonts w:ascii="Arial" w:hAnsi="Arial" w:cs="Arial"/>
                <w:sz w:val="20"/>
                <w:szCs w:val="20"/>
              </w:rPr>
            </w:pPr>
            <w:r>
              <w:rPr>
                <w:rFonts w:cs="Arial" w:ascii="Arial" w:hAnsi="Arial"/>
                <w:sz w:val="20"/>
                <w:szCs w:val="20"/>
              </w:rPr>
            </w:r>
          </w:p>
        </w:tc>
        <w:tc>
          <w:tcPr>
            <w:tcW w:w="1737" w:type="dxa"/>
            <w:tcBorders>
              <w:top w:val="single" w:sz="4" w:space="0" w:color="000000"/>
              <w:start w:val="single" w:sz="4" w:space="0" w:color="000000"/>
              <w:bottom w:val="single" w:sz="4" w:space="0" w:color="000000"/>
            </w:tcBorders>
            <w:vAlign w:val="center"/>
          </w:tcPr>
          <w:p>
            <w:pPr>
              <w:pStyle w:val="BodyText"/>
              <w:bidi w:val="0"/>
              <w:snapToGrid w:val="false"/>
              <w:spacing w:before="0" w:after="62"/>
              <w:jc w:val="both"/>
              <w:rPr>
                <w:rFonts w:ascii="Arial" w:hAnsi="Arial" w:cs="Arial"/>
                <w:sz w:val="20"/>
                <w:szCs w:val="20"/>
              </w:rPr>
            </w:pPr>
            <w:r>
              <w:rPr>
                <w:rFonts w:cs="Arial" w:ascii="Arial" w:hAnsi="Arial"/>
                <w:sz w:val="20"/>
                <w:szCs w:val="20"/>
              </w:rPr>
            </w:r>
          </w:p>
        </w:tc>
        <w:tc>
          <w:tcPr>
            <w:tcW w:w="1866" w:type="dxa"/>
            <w:tcBorders>
              <w:top w:val="single" w:sz="4" w:space="0" w:color="000000"/>
              <w:start w:val="single" w:sz="4" w:space="0" w:color="000000"/>
              <w:bottom w:val="single" w:sz="4" w:space="0" w:color="000000"/>
              <w:end w:val="single" w:sz="4" w:space="0" w:color="000000"/>
            </w:tcBorders>
            <w:vAlign w:val="center"/>
          </w:tcPr>
          <w:p>
            <w:pPr>
              <w:pStyle w:val="BodyText"/>
              <w:bidi w:val="0"/>
              <w:snapToGrid w:val="false"/>
              <w:spacing w:before="0" w:after="62"/>
              <w:jc w:val="both"/>
              <w:rPr>
                <w:rFonts w:ascii="Arial" w:hAnsi="Arial" w:cs="Arial"/>
                <w:sz w:val="20"/>
                <w:szCs w:val="20"/>
              </w:rPr>
            </w:pPr>
            <w:r>
              <w:rPr>
                <w:rFonts w:cs="Arial" w:ascii="Arial" w:hAnsi="Arial"/>
                <w:sz w:val="20"/>
                <w:szCs w:val="20"/>
              </w:rPr>
            </w:r>
          </w:p>
        </w:tc>
      </w:tr>
    </w:tbl>
    <w:p>
      <w:pPr>
        <w:pStyle w:val="Contenutotabella"/>
        <w:tabs>
          <w:tab w:val="clear" w:pos="709"/>
          <w:tab w:val="left" w:pos="540" w:leader="none"/>
        </w:tabs>
        <w:bidi w:val="0"/>
        <w:jc w:val="both"/>
        <w:rPr>
          <w:rFonts w:ascii="Arial" w:hAnsi="Arial" w:cs="Arial"/>
          <w:b/>
          <w:bCs/>
          <w:sz w:val="22"/>
          <w:szCs w:val="22"/>
        </w:rPr>
      </w:pPr>
      <w:r>
        <w:rPr>
          <w:rFonts w:cs="Arial" w:ascii="Arial" w:hAnsi="Arial"/>
          <w:b/>
          <w:bCs/>
          <w:sz w:val="22"/>
          <w:szCs w:val="22"/>
        </w:rPr>
      </w:r>
    </w:p>
    <w:p>
      <w:pPr>
        <w:pStyle w:val="Heading8"/>
        <w:bidi w:val="0"/>
        <w:ind w:hanging="0" w:start="0"/>
        <w:jc w:val="start"/>
        <w:rPr/>
      </w:pPr>
      <w:r>
        <w:rPr/>
      </w:r>
    </w:p>
    <w:p>
      <w:pPr>
        <w:pStyle w:val="Heading8"/>
        <w:bidi w:val="0"/>
        <w:ind w:hanging="0" w:start="0"/>
        <w:jc w:val="start"/>
        <w:rPr/>
      </w:pPr>
      <w:bookmarkStart w:id="14" w:name="__RefHeading___Toc5668_2724914010"/>
      <w:bookmarkStart w:id="15" w:name="_Toc230101619"/>
      <w:bookmarkEnd w:id="14"/>
      <w:r>
        <w:rPr/>
        <w:t>2.3 Quadro economico</w:t>
      </w:r>
      <w:bookmarkEnd w:id="15"/>
    </w:p>
    <w:p>
      <w:pPr>
        <w:pStyle w:val="BodyText"/>
        <w:bidi w:val="0"/>
        <w:jc w:val="start"/>
        <w:rPr/>
      </w:pPr>
      <w:r>
        <w:rPr/>
      </w:r>
    </w:p>
    <w:p>
      <w:pPr>
        <w:pStyle w:val="BodyText"/>
        <w:bidi w:val="0"/>
        <w:jc w:val="both"/>
        <w:rPr/>
      </w:pPr>
      <w:r>
        <w:rPr>
          <w:rStyle w:val="DefaultParagraphFont"/>
          <w:rFonts w:cs="Arial" w:ascii="Arial" w:hAnsi="Arial"/>
          <w:sz w:val="20"/>
          <w:szCs w:val="20"/>
        </w:rPr>
        <w:t xml:space="preserve">Dettagliare i </w:t>
      </w:r>
      <w:r>
        <w:rPr>
          <w:rStyle w:val="DefaultParagraphFont"/>
          <w:rFonts w:cs="Arial" w:ascii="Arial" w:hAnsi="Arial"/>
          <w:sz w:val="20"/>
          <w:szCs w:val="20"/>
          <w:u w:val="single"/>
        </w:rPr>
        <w:t>costi di investimento ammissibili effettivamente sostenuti</w:t>
      </w:r>
      <w:r>
        <w:rPr>
          <w:rStyle w:val="DefaultParagraphFont"/>
          <w:rFonts w:cs="Arial" w:ascii="Arial" w:hAnsi="Arial"/>
          <w:sz w:val="20"/>
          <w:szCs w:val="20"/>
        </w:rPr>
        <w:t>, disaggregandoli per le principali voci di costo previste dal quadro economico della “Relazione tecnico-economica di sintesi”, confrontandoli con i corrispondenti importi indicati in fase di presentazione della domanda, specificando le motivazioni alla base degli eventuali scostamenti.</w:t>
      </w:r>
    </w:p>
    <w:p>
      <w:pPr>
        <w:pStyle w:val="Heading8"/>
        <w:bidi w:val="0"/>
        <w:ind w:hanging="0" w:start="0"/>
        <w:jc w:val="start"/>
        <w:rPr/>
      </w:pPr>
      <w:r>
        <w:rPr/>
      </w:r>
    </w:p>
    <w:p>
      <w:pPr>
        <w:pStyle w:val="Heading8"/>
        <w:bidi w:val="0"/>
        <w:ind w:hanging="0" w:start="0"/>
        <w:jc w:val="start"/>
        <w:rPr/>
      </w:pPr>
      <w:bookmarkStart w:id="16" w:name="__RefHeading___Toc5670_2724914010"/>
      <w:bookmarkStart w:id="17" w:name="_Toc230101620"/>
      <w:bookmarkEnd w:id="16"/>
      <w:r>
        <w:rPr/>
        <w:t>2.4 Monitoraggio</w:t>
      </w:r>
      <w:bookmarkEnd w:id="17"/>
    </w:p>
    <w:p>
      <w:pPr>
        <w:pStyle w:val="BodyText"/>
        <w:bidi w:val="0"/>
        <w:jc w:val="start"/>
        <w:rPr/>
      </w:pPr>
      <w:r>
        <w:rPr/>
      </w:r>
    </w:p>
    <w:p>
      <w:pPr>
        <w:pStyle w:val="BodyText"/>
        <w:bidi w:val="0"/>
        <w:jc w:val="both"/>
        <w:rPr/>
      </w:pPr>
      <w:r>
        <w:rPr>
          <w:rStyle w:val="DefaultParagraphFont"/>
          <w:rFonts w:cs="Arial" w:ascii="Arial" w:hAnsi="Arial"/>
          <w:sz w:val="20"/>
          <w:szCs w:val="20"/>
        </w:rPr>
        <w:t xml:space="preserve">Descrivere sinteticamente le </w:t>
      </w:r>
      <w:r>
        <w:rPr>
          <w:rStyle w:val="DefaultParagraphFont"/>
          <w:rFonts w:cs="Arial" w:ascii="Arial" w:hAnsi="Arial"/>
          <w:sz w:val="20"/>
          <w:szCs w:val="20"/>
          <w:u w:val="single"/>
        </w:rPr>
        <w:t>modalità di monitoraggio degli interventi</w:t>
      </w:r>
      <w:r>
        <w:rPr>
          <w:rStyle w:val="DefaultParagraphFont"/>
          <w:rFonts w:cs="Arial" w:ascii="Arial" w:hAnsi="Arial"/>
          <w:sz w:val="20"/>
          <w:szCs w:val="20"/>
        </w:rPr>
        <w:t>, anche in riferimento agli obblighi previsti al par. 4.2 del Bando in materia di invio dei dati di monitoraggio successivamente alla realizzazione dell’intervento.</w:t>
      </w:r>
    </w:p>
    <w:p>
      <w:pPr>
        <w:pStyle w:val="Heading8"/>
        <w:bidi w:val="0"/>
        <w:ind w:hanging="0" w:start="0"/>
        <w:jc w:val="start"/>
        <w:rPr/>
      </w:pPr>
      <w:r>
        <w:rPr/>
      </w:r>
    </w:p>
    <w:p>
      <w:pPr>
        <w:pStyle w:val="Heading8"/>
        <w:bidi w:val="0"/>
        <w:ind w:hanging="0" w:start="0"/>
        <w:jc w:val="start"/>
        <w:rPr/>
      </w:pPr>
      <w:bookmarkStart w:id="18" w:name="__RefHeading___Toc5672_2724914010"/>
      <w:bookmarkStart w:id="19" w:name="_Toc230101621"/>
      <w:bookmarkEnd w:id="18"/>
      <w:r>
        <w:rPr/>
        <w:t>2.5 Calendario delle attività</w:t>
      </w:r>
      <w:bookmarkEnd w:id="19"/>
    </w:p>
    <w:p>
      <w:pPr>
        <w:pStyle w:val="BodyText"/>
        <w:bidi w:val="0"/>
        <w:jc w:val="start"/>
        <w:rPr/>
      </w:pPr>
      <w:r>
        <w:rPr/>
      </w:r>
    </w:p>
    <w:p>
      <w:pPr>
        <w:pStyle w:val="BodyText"/>
        <w:bidi w:val="0"/>
        <w:jc w:val="both"/>
        <w:rPr/>
      </w:pPr>
      <w:r>
        <w:rPr>
          <w:rStyle w:val="DefaultParagraphFont"/>
          <w:rFonts w:cs="Arial" w:ascii="Arial" w:hAnsi="Arial"/>
          <w:sz w:val="20"/>
          <w:szCs w:val="20"/>
        </w:rPr>
        <w:t xml:space="preserve">Riportare, mediante un diagramma di Gantt, </w:t>
      </w:r>
      <w:r>
        <w:rPr>
          <w:rStyle w:val="DefaultParagraphFont"/>
          <w:rFonts w:cs="Arial" w:ascii="Arial" w:hAnsi="Arial"/>
          <w:sz w:val="20"/>
          <w:szCs w:val="20"/>
          <w:u w:val="single"/>
        </w:rPr>
        <w:t>il calendario dei lavori occorso per la realizzazione degli interventi</w:t>
      </w:r>
      <w:r>
        <w:rPr>
          <w:rStyle w:val="DefaultParagraphFont"/>
          <w:rFonts w:cs="Arial" w:ascii="Arial" w:hAnsi="Arial"/>
          <w:sz w:val="20"/>
          <w:szCs w:val="20"/>
        </w:rPr>
        <w:t xml:space="preserve"> con espressa indicazione del termine di inizio e conclusione delle fasi lavorative e circostanziato per le diverse attività svolte, attestante il rispetto della tempistica prevista dal Bando (anche in relazione a eventuali proroghe concesse). </w:t>
      </w:r>
      <w:r>
        <w:rPr>
          <w:rStyle w:val="DefaultParagraphFont"/>
          <w:rFonts w:cs="Arial" w:ascii="Arial" w:hAnsi="Arial"/>
          <w:sz w:val="20"/>
          <w:szCs w:val="20"/>
        </w:rPr>
        <w:t>Il diagramma deve essere allineato nei contenuti/attività a quello già realizzato in fase di redazione della relazione tecnico-economica di sintesi  (tabella 6.1, allegato 6).</w:t>
      </w:r>
    </w:p>
    <w:p>
      <w:pPr>
        <w:pStyle w:val="Heading8"/>
        <w:bidi w:val="0"/>
        <w:ind w:hanging="0" w:start="0"/>
        <w:jc w:val="start"/>
        <w:rPr/>
      </w:pPr>
      <w:r>
        <w:rPr/>
      </w:r>
    </w:p>
    <w:p>
      <w:pPr>
        <w:pStyle w:val="Heading8"/>
        <w:bidi w:val="0"/>
        <w:ind w:hanging="0" w:start="0"/>
        <w:jc w:val="start"/>
        <w:rPr/>
      </w:pPr>
      <w:bookmarkStart w:id="20" w:name="__RefHeading___Toc5674_2724914010"/>
      <w:bookmarkStart w:id="21" w:name="_Toc230101622"/>
      <w:bookmarkEnd w:id="20"/>
      <w:r>
        <w:rPr/>
        <w:t>2.6 Modalità di manutenzione</w:t>
      </w:r>
      <w:bookmarkEnd w:id="21"/>
    </w:p>
    <w:p>
      <w:pPr>
        <w:pStyle w:val="BodyText"/>
        <w:bidi w:val="0"/>
        <w:jc w:val="start"/>
        <w:rPr/>
      </w:pPr>
      <w:r>
        <w:rPr/>
      </w:r>
    </w:p>
    <w:p>
      <w:pPr>
        <w:pStyle w:val="BodyText"/>
        <w:bidi w:val="0"/>
        <w:jc w:val="both"/>
        <w:rPr>
          <w:rFonts w:ascii="Arial" w:hAnsi="Arial" w:eastAsia="Microsoft YaHei" w:cs="Arial"/>
          <w:color w:val="000000"/>
          <w:sz w:val="20"/>
          <w:szCs w:val="20"/>
        </w:rPr>
      </w:pPr>
      <w:r>
        <w:rPr>
          <w:rFonts w:eastAsia="Microsoft YaHei" w:cs="Arial" w:ascii="Arial" w:hAnsi="Arial"/>
          <w:color w:val="000000"/>
          <w:sz w:val="20"/>
          <w:szCs w:val="20"/>
        </w:rPr>
        <w:t>Esplicitare il piano di gestione e manutenzione che si intende adottare evidenziando</w:t>
      </w:r>
      <w:r>
        <w:rPr>
          <w:rFonts w:eastAsia="Microsoft YaHei" w:cs="Arial" w:ascii="Arial" w:hAnsi="Arial"/>
          <w:color w:val="000000"/>
          <w:sz w:val="20"/>
          <w:szCs w:val="20"/>
        </w:rPr>
        <w:t xml:space="preserve"> anche eventuali modifiche (tempistiche e qualità degli interventi) intervenute rispetto al Piano </w:t>
      </w:r>
      <w:r>
        <w:rPr>
          <w:rFonts w:eastAsia="Microsoft YaHei" w:cs="Arial" w:ascii="Arial" w:hAnsi="Arial"/>
          <w:color w:val="000000"/>
          <w:sz w:val="20"/>
          <w:szCs w:val="20"/>
        </w:rPr>
        <w:t xml:space="preserve">(redatto sulla base del paragrafo 4 </w:t>
      </w:r>
      <w:r>
        <w:rPr>
          <w:rStyle w:val="DefaultParagraphFont"/>
          <w:rFonts w:eastAsia="Microsoft YaHei" w:cs="Arial" w:ascii="Arial" w:hAnsi="Arial"/>
          <w:color w:val="000000"/>
          <w:sz w:val="20"/>
          <w:szCs w:val="20"/>
        </w:rPr>
        <w:t xml:space="preserve">dell’allegato 6 “Schema di relazione tecnico-economica”) </w:t>
      </w:r>
      <w:r>
        <w:rPr>
          <w:rFonts w:eastAsia="Microsoft YaHei" w:cs="Arial" w:ascii="Arial" w:hAnsi="Arial"/>
          <w:color w:val="000000"/>
          <w:sz w:val="20"/>
          <w:szCs w:val="20"/>
        </w:rPr>
        <w:t xml:space="preserve">presentato </w:t>
      </w:r>
      <w:r>
        <w:rPr>
          <w:rFonts w:eastAsia="Microsoft YaHei" w:cs="Arial" w:ascii="Arial" w:hAnsi="Arial"/>
          <w:color w:val="000000"/>
          <w:sz w:val="20"/>
          <w:szCs w:val="20"/>
        </w:rPr>
        <w:t xml:space="preserve">nella relazione tecnico-economica di sintesi. Le modifiche intervenute devono essere </w:t>
      </w:r>
      <w:r>
        <w:rPr>
          <w:rFonts w:eastAsia="Microsoft YaHei" w:cs="Arial" w:ascii="Arial" w:hAnsi="Arial"/>
          <w:color w:val="000000"/>
          <w:sz w:val="20"/>
          <w:szCs w:val="20"/>
        </w:rPr>
        <w:t>motiva</w:t>
      </w:r>
      <w:r>
        <w:rPr>
          <w:rFonts w:eastAsia="Microsoft YaHei" w:cs="Arial" w:ascii="Arial" w:hAnsi="Arial"/>
          <w:color w:val="000000"/>
          <w:sz w:val="20"/>
          <w:szCs w:val="20"/>
        </w:rPr>
        <w:t>te</w:t>
      </w:r>
      <w:r>
        <w:rPr>
          <w:rFonts w:eastAsia="Microsoft YaHei" w:cs="Arial" w:ascii="Arial" w:hAnsi="Arial"/>
          <w:color w:val="000000"/>
          <w:sz w:val="20"/>
          <w:szCs w:val="20"/>
        </w:rPr>
        <w:t>.</w:t>
      </w:r>
    </w:p>
    <w:p>
      <w:pPr>
        <w:pStyle w:val="Heading8"/>
        <w:bidi w:val="0"/>
        <w:ind w:hanging="0" w:start="0"/>
        <w:jc w:val="start"/>
        <w:rPr/>
      </w:pPr>
      <w:r>
        <w:rPr/>
      </w:r>
    </w:p>
    <w:p>
      <w:pPr>
        <w:pStyle w:val="Heading8"/>
        <w:bidi w:val="0"/>
        <w:ind w:hanging="0" w:start="0"/>
        <w:jc w:val="start"/>
        <w:rPr/>
      </w:pPr>
      <w:bookmarkStart w:id="22" w:name="__RefHeading___Toc5676_2724914010"/>
      <w:bookmarkStart w:id="23" w:name="_Toc230101623"/>
      <w:bookmarkEnd w:id="22"/>
      <w:r>
        <w:rPr/>
        <w:t>2.7 Modalità di divulgazion</w:t>
      </w:r>
      <w:bookmarkEnd w:id="23"/>
      <w:r>
        <w:rPr/>
        <w:t>e</w:t>
      </w:r>
    </w:p>
    <w:p>
      <w:pPr>
        <w:pStyle w:val="BodyText"/>
        <w:bidi w:val="0"/>
        <w:jc w:val="start"/>
        <w:rPr/>
      </w:pPr>
      <w:r>
        <w:rPr/>
      </w:r>
    </w:p>
    <w:p>
      <w:pPr>
        <w:pStyle w:val="BodyText"/>
        <w:bidi w:val="0"/>
        <w:jc w:val="both"/>
        <w:rPr/>
      </w:pPr>
      <w:r>
        <w:rPr>
          <w:rStyle w:val="DefaultParagraphFont"/>
          <w:rFonts w:cs="Arial" w:ascii="Arial" w:hAnsi="Arial"/>
          <w:sz w:val="20"/>
          <w:szCs w:val="20"/>
        </w:rPr>
        <w:t xml:space="preserve">Esplicitare i </w:t>
      </w:r>
      <w:r>
        <w:rPr>
          <w:rStyle w:val="DefaultParagraphFont"/>
          <w:rFonts w:cs="Arial" w:ascii="Arial" w:hAnsi="Arial"/>
          <w:sz w:val="20"/>
          <w:szCs w:val="20"/>
          <w:u w:val="single"/>
        </w:rPr>
        <w:t>programmi di divulgazione che attengono alla diffusione e disseminazione dell’iniziativa</w:t>
      </w:r>
      <w:r>
        <w:rPr>
          <w:rStyle w:val="DefaultParagraphFont"/>
          <w:rFonts w:cs="Arial" w:ascii="Arial" w:hAnsi="Arial"/>
          <w:sz w:val="20"/>
          <w:szCs w:val="20"/>
        </w:rPr>
        <w:t>.</w:t>
      </w:r>
    </w:p>
    <w:p>
      <w:pPr>
        <w:pStyle w:val="BodyText"/>
        <w:bidi w:val="0"/>
        <w:jc w:val="both"/>
        <w:rPr>
          <w:rFonts w:ascii="Arial" w:hAnsi="Arial" w:cs="Arial"/>
          <w:sz w:val="20"/>
          <w:szCs w:val="20"/>
        </w:rPr>
      </w:pPr>
      <w:r>
        <w:rPr>
          <w:rFonts w:cs="Arial" w:ascii="Arial" w:hAnsi="Arial"/>
          <w:sz w:val="20"/>
          <w:szCs w:val="20"/>
        </w:rPr>
        <w:t>A tal fine occorre indicare quali modalità – selezionate ad esempio dall’elenco che segue - siano state individuate come mezzi di diffusione:</w:t>
      </w:r>
    </w:p>
    <w:p>
      <w:pPr>
        <w:pStyle w:val="BodyText"/>
        <w:numPr>
          <w:ilvl w:val="0"/>
          <w:numId w:val="6"/>
        </w:numPr>
        <w:bidi w:val="0"/>
        <w:jc w:val="both"/>
        <w:rPr>
          <w:rFonts w:ascii="Arial" w:hAnsi="Arial" w:cs="Arial"/>
          <w:sz w:val="20"/>
          <w:szCs w:val="20"/>
        </w:rPr>
      </w:pPr>
      <w:r>
        <w:rPr>
          <w:rFonts w:cs="Arial" w:ascii="Arial" w:hAnsi="Arial"/>
          <w:sz w:val="20"/>
          <w:szCs w:val="20"/>
        </w:rPr>
        <w:t>incontri pubblici, con l’organizzazione di uno specifico seminario di divulgazione, durante il quale siano esplicitati i risultati ottenuti e le caratteristiche tecniche innovative dell’iniziativa;</w:t>
      </w:r>
    </w:p>
    <w:p>
      <w:pPr>
        <w:pStyle w:val="BodyText"/>
        <w:numPr>
          <w:ilvl w:val="0"/>
          <w:numId w:val="3"/>
        </w:numPr>
        <w:bidi w:val="0"/>
        <w:jc w:val="both"/>
        <w:rPr>
          <w:rFonts w:ascii="Arial" w:hAnsi="Arial" w:cs="Arial"/>
          <w:sz w:val="20"/>
          <w:szCs w:val="20"/>
        </w:rPr>
      </w:pPr>
      <w:r>
        <w:rPr>
          <w:rFonts w:cs="Arial" w:ascii="Arial" w:hAnsi="Arial"/>
          <w:sz w:val="20"/>
          <w:szCs w:val="20"/>
        </w:rPr>
        <w:t>divulgazione on-line attraverso il sito ufficiale o i social network;</w:t>
      </w:r>
    </w:p>
    <w:p>
      <w:pPr>
        <w:pStyle w:val="BodyText"/>
        <w:numPr>
          <w:ilvl w:val="0"/>
          <w:numId w:val="3"/>
        </w:numPr>
        <w:bidi w:val="0"/>
        <w:jc w:val="both"/>
        <w:rPr>
          <w:rFonts w:ascii="Arial" w:hAnsi="Arial" w:eastAsia="Microsoft YaHei" w:cs="Arial"/>
          <w:b/>
          <w:bCs/>
          <w:sz w:val="20"/>
          <w:szCs w:val="20"/>
        </w:rPr>
      </w:pPr>
      <w:r>
        <w:rPr>
          <w:rFonts w:eastAsia="Microsoft YaHei" w:cs="Arial" w:ascii="Arial" w:hAnsi="Arial"/>
          <w:b/>
          <w:bCs/>
          <w:sz w:val="20"/>
          <w:szCs w:val="20"/>
        </w:rPr>
        <w:t>…</w:t>
      </w:r>
    </w:p>
    <w:p>
      <w:pPr>
        <w:pStyle w:val="BodyText"/>
        <w:numPr>
          <w:ilvl w:val="0"/>
          <w:numId w:val="0"/>
        </w:numPr>
        <w:bidi w:val="0"/>
        <w:ind w:hanging="0" w:start="720"/>
        <w:jc w:val="both"/>
        <w:rPr>
          <w:rFonts w:ascii="Arial" w:hAnsi="Arial" w:eastAsia="Microsoft YaHei" w:cs="Arial"/>
          <w:b/>
          <w:bCs/>
          <w:sz w:val="20"/>
          <w:szCs w:val="20"/>
        </w:rPr>
      </w:pPr>
      <w:r>
        <w:rPr>
          <w:rFonts w:eastAsia="Microsoft YaHei" w:cs="Arial" w:ascii="Arial" w:hAnsi="Arial"/>
          <w:b/>
          <w:bCs/>
          <w:sz w:val="20"/>
          <w:szCs w:val="20"/>
        </w:rPr>
      </w:r>
    </w:p>
    <w:p>
      <w:pPr>
        <w:pStyle w:val="Heading7"/>
        <w:bidi w:val="0"/>
        <w:ind w:hanging="0" w:start="0"/>
        <w:jc w:val="start"/>
        <w:rPr/>
      </w:pPr>
      <w:bookmarkStart w:id="24" w:name="__RefHeading___Toc12688_2225199463"/>
      <w:bookmarkStart w:id="25" w:name="_Toc230101624"/>
      <w:bookmarkEnd w:id="24"/>
      <w:r>
        <w:rPr>
          <w:rStyle w:val="DefaultParagraphFont"/>
        </w:rPr>
        <w:t>3. ALLEGATI TECNICI</w:t>
      </w:r>
      <w:bookmarkEnd w:id="25"/>
    </w:p>
    <w:p>
      <w:pPr>
        <w:pStyle w:val="BodyText"/>
        <w:bidi w:val="0"/>
        <w:jc w:val="start"/>
        <w:rPr>
          <w:rFonts w:ascii="Arial" w:hAnsi="Arial" w:eastAsia="Microsoft YaHei" w:cs="Arial"/>
          <w:color w:val="000000"/>
          <w:sz w:val="20"/>
          <w:szCs w:val="20"/>
          <w:shd w:fill="FFFF00" w:val="clear"/>
        </w:rPr>
      </w:pPr>
      <w:r>
        <w:rPr/>
      </w:r>
    </w:p>
    <w:p>
      <w:pPr>
        <w:pStyle w:val="Heading8"/>
        <w:bidi w:val="0"/>
        <w:ind w:hanging="0" w:start="0"/>
        <w:jc w:val="start"/>
        <w:rPr/>
      </w:pPr>
      <w:bookmarkStart w:id="26" w:name="__RefHeading___Toc2723_1225741152"/>
      <w:bookmarkStart w:id="27" w:name="_Toc230101625"/>
      <w:bookmarkEnd w:id="26"/>
      <w:r>
        <w:rPr/>
        <w:t>3.1 Modalità di verifica del rispetto del principio DNSH</w:t>
      </w:r>
      <w:bookmarkEnd w:id="27"/>
    </w:p>
    <w:p>
      <w:pPr>
        <w:pStyle w:val="BodyText"/>
        <w:widowControl/>
        <w:bidi w:val="0"/>
        <w:jc w:val="both"/>
        <w:rPr>
          <w:rFonts w:ascii="Arial" w:hAnsi="Arial" w:cs="Arial"/>
          <w:sz w:val="20"/>
          <w:szCs w:val="20"/>
        </w:rPr>
      </w:pPr>
      <w:r>
        <w:rPr>
          <w:rFonts w:cs="Arial" w:ascii="Arial" w:hAnsi="Arial"/>
          <w:sz w:val="20"/>
          <w:szCs w:val="20"/>
        </w:rPr>
      </w:r>
    </w:p>
    <w:p>
      <w:pPr>
        <w:pStyle w:val="BodyText"/>
        <w:widowControl/>
        <w:bidi w:val="0"/>
        <w:jc w:val="both"/>
        <w:rPr>
          <w:rFonts w:ascii="Arial" w:hAnsi="Arial" w:cs="Arial"/>
          <w:sz w:val="20"/>
          <w:szCs w:val="20"/>
        </w:rPr>
      </w:pPr>
      <w:r>
        <w:rPr>
          <w:rFonts w:cs="Arial" w:ascii="Arial" w:hAnsi="Arial"/>
          <w:sz w:val="20"/>
          <w:szCs w:val="20"/>
        </w:rPr>
        <w:t>La verifica del rispetto del principio DNSH avviene in fase successiva alla conclusione del progetto, attraverso un controllo documentale condotto dall'ufficio regionale competente. Il controllo si sostanzia nella verifica della coerenza tra gli impegni assunti dal beneficiario in sede di candidatura e quanto effettivamente realizzato nell'ambito del progetto finanziato. A tal fine, l'ufficio regionale incrocia quanto dichiarato in fase di domanda con la documentazione prodotta a conclusione del progetto, verificando puntualmente la corrispondenza per ciascun impegno assunto.</w:t>
      </w:r>
    </w:p>
    <w:p>
      <w:pPr>
        <w:pStyle w:val="BodyText"/>
        <w:widowControl/>
        <w:bidi w:val="0"/>
        <w:jc w:val="both"/>
        <w:rPr>
          <w:rFonts w:ascii="Arial" w:hAnsi="Arial" w:cs="Arial"/>
          <w:sz w:val="20"/>
          <w:szCs w:val="20"/>
        </w:rPr>
      </w:pPr>
      <w:r>
        <w:rPr>
          <w:rFonts w:cs="Arial" w:ascii="Arial" w:hAnsi="Arial"/>
          <w:sz w:val="20"/>
          <w:szCs w:val="20"/>
        </w:rPr>
        <w:t>L'oggetto del controllo varia in funzione della dichiarazione resa dal beneficiario in fase di domanda:</w:t>
      </w:r>
    </w:p>
    <w:p>
      <w:pPr>
        <w:pStyle w:val="BodyText1"/>
        <w:bidi w:val="0"/>
        <w:jc w:val="both"/>
        <w:rPr>
          <w:iCs/>
        </w:rPr>
      </w:pPr>
      <w:r>
        <w:rPr>
          <w:iCs/>
        </w:rPr>
      </w:r>
    </w:p>
    <w:p>
      <w:pPr>
        <w:pStyle w:val="BodyText"/>
        <w:widowControl/>
        <w:numPr>
          <w:ilvl w:val="0"/>
          <w:numId w:val="4"/>
        </w:numPr>
        <w:bidi w:val="0"/>
        <w:jc w:val="both"/>
        <w:rPr/>
      </w:pPr>
      <w:r>
        <w:rPr>
          <w:rStyle w:val="DefaultParagraphFont"/>
          <w:rFonts w:cs="Arial" w:ascii="Arial" w:hAnsi="Arial"/>
          <w:sz w:val="20"/>
          <w:szCs w:val="20"/>
        </w:rPr>
        <w:t>per i beneficiari che hanno dichiarato il possesso di un Sistema di Gestione Ambientale certificato, il controllo verifica la validità e la pertinenza della certificazione prodotta (es. ISO 14001, EMAS), nonché la sua riferibilità alle attività oggetto di finanziamento;</w:t>
      </w:r>
    </w:p>
    <w:p>
      <w:pPr>
        <w:pStyle w:val="BodyText"/>
        <w:widowControl/>
        <w:numPr>
          <w:ilvl w:val="0"/>
          <w:numId w:val="4"/>
        </w:numPr>
        <w:bidi w:val="0"/>
        <w:jc w:val="both"/>
        <w:rPr/>
      </w:pPr>
      <w:r>
        <w:rPr>
          <w:rStyle w:val="DefaultParagraphFont"/>
          <w:rFonts w:cs="Arial" w:ascii="Arial" w:hAnsi="Arial"/>
          <w:sz w:val="20"/>
          <w:szCs w:val="20"/>
        </w:rPr>
        <w:t>per i beneficiari che si sono impegnati ad applicare i CAM pertinenti, il controllo verifica la Relazione CAM prodotta dal progettista, con particolare riferimento alle soluzioni adottate per ciascun criterio ambientale, ai mezzi di prova indicati e alla loro coerenza con quanto previsto nei capitolati e negli atti di gara. La verifica finale riguarderà tutti i criteri CAM applicabili all’intervento e sarà effettuata attraverso l’analisi della documentazione tecnica e probatoria prodotta dal beneficiario, inclusi, a titolo esemplificativo, schede tecniche dei prodotti e dei materiali, dichiarazioni del produttore, certificazioni ambientali o di contenuto riciclato, documentazione di fornitura ed eventuali ulteriori evidenze utili a dimostrare la conformità delle soluzioni effettivamente realizzate rispetto agli impegni assunti in fase di domanda e progettazione.</w:t>
      </w:r>
    </w:p>
    <w:p>
      <w:pPr>
        <w:pStyle w:val="BodyText"/>
        <w:widowControl/>
        <w:numPr>
          <w:ilvl w:val="0"/>
          <w:numId w:val="4"/>
        </w:numPr>
        <w:bidi w:val="0"/>
        <w:jc w:val="both"/>
        <w:rPr/>
      </w:pPr>
      <w:r>
        <w:rPr>
          <w:rStyle w:val="DefaultParagraphFont"/>
          <w:rFonts w:cs="Arial" w:ascii="Arial" w:hAnsi="Arial"/>
          <w:sz w:val="20"/>
          <w:szCs w:val="20"/>
        </w:rPr>
        <w:t>per i beneficiari che hanno dichiarato la pertinenza di spese per dispositivi tecnologici, il controllo verifica il possesso, da parte del fornitore o del produttore, dell’iscrizione al Registro nazionale dei soggetti obbligati al finanziamento dei sistemi di gestione dei RAEE;</w:t>
      </w:r>
    </w:p>
    <w:p>
      <w:pPr>
        <w:pStyle w:val="BodyText"/>
        <w:widowControl/>
        <w:numPr>
          <w:ilvl w:val="0"/>
          <w:numId w:val="4"/>
        </w:numPr>
        <w:bidi w:val="0"/>
        <w:jc w:val="both"/>
        <w:rPr/>
      </w:pPr>
      <w:r>
        <w:rPr>
          <w:rStyle w:val="DefaultParagraphFont"/>
          <w:rFonts w:cs="Arial" w:ascii="Arial" w:hAnsi="Arial"/>
          <w:sz w:val="20"/>
          <w:szCs w:val="20"/>
        </w:rPr>
        <w:t>per i beneficiari che hanno trasmesso la Relazione DNSH, il controllo verifica la coerenza tra gli indicatori dichiarati come pertinenti e le evidenze documentali prodotte a comprova del loro rispetto. L'elenco degli indicatori e delle relative evidenze documentali attese è riportato nella Tabella 1 del presente allegato.</w:t>
      </w:r>
    </w:p>
    <w:p>
      <w:pPr>
        <w:pStyle w:val="BodyText"/>
        <w:widowControl/>
        <w:bidi w:val="0"/>
        <w:jc w:val="both"/>
        <w:rPr>
          <w:rFonts w:ascii="Arial" w:hAnsi="Arial" w:cs="Arial"/>
          <w:sz w:val="20"/>
          <w:szCs w:val="20"/>
        </w:rPr>
      </w:pPr>
      <w:r>
        <w:rPr>
          <w:rFonts w:cs="Arial" w:ascii="Arial" w:hAnsi="Arial"/>
          <w:sz w:val="20"/>
          <w:szCs w:val="20"/>
        </w:rPr>
        <w:t>Il controllo è esclusivamente documentale. In caso di documentazione assente, incompleta o non coerente con quanto dichiarato in fase di domanda, l'ufficio regionale può richiedere integrazioni al beneficiario ovvero avviare le procedure previste dalla normativa vigente in materia di revoca o riduzione del finanziamento concesso.</w:t>
      </w:r>
    </w:p>
    <w:p>
      <w:pPr>
        <w:pStyle w:val="BodyText1"/>
        <w:bidi w:val="0"/>
        <w:jc w:val="both"/>
        <w:rPr>
          <w:iCs/>
        </w:rPr>
      </w:pPr>
      <w:r>
        <w:rPr>
          <w:iCs/>
        </w:rPr>
      </w:r>
    </w:p>
    <w:p>
      <w:pPr>
        <w:pStyle w:val="BodyText1"/>
        <w:bidi w:val="0"/>
        <w:jc w:val="both"/>
        <w:rPr>
          <w:iCs/>
        </w:rPr>
      </w:pPr>
      <w:r>
        <w:rPr>
          <w:iCs/>
        </w:rPr>
      </w:r>
    </w:p>
    <w:p>
      <w:pPr>
        <w:pStyle w:val="BodyText1"/>
        <w:bidi w:val="0"/>
        <w:jc w:val="both"/>
        <w:rPr>
          <w:iCs/>
        </w:rPr>
      </w:pPr>
      <w:r>
        <w:rPr>
          <w:iCs/>
        </w:rPr>
      </w:r>
    </w:p>
    <w:p>
      <w:pPr>
        <w:pStyle w:val="Contenutotabella"/>
        <w:tabs>
          <w:tab w:val="clear" w:pos="709"/>
          <w:tab w:val="left" w:pos="540" w:leader="none"/>
        </w:tabs>
        <w:autoSpaceDE w:val="false"/>
        <w:bidi w:val="0"/>
        <w:jc w:val="both"/>
        <w:rPr>
          <w:rFonts w:ascii="Calibri" w:hAnsi="Calibri" w:eastAsia="Calibri" w:cs="Calibri"/>
          <w:sz w:val="22"/>
          <w:szCs w:val="22"/>
        </w:rPr>
      </w:pPr>
      <w:r>
        <w:rPr>
          <w:rFonts w:eastAsia="Microsoft YaHei" w:cs="Arial" w:ascii="Arial" w:hAnsi="Arial"/>
          <w:color w:val="000000"/>
          <w:sz w:val="20"/>
          <w:szCs w:val="20"/>
        </w:rPr>
      </w:r>
    </w:p>
    <w:sectPr>
      <w:footnotePr>
        <w:numFmt w:val="decimal"/>
      </w:footnotePr>
      <w:type w:val="nextPage"/>
      <w:pgSz w:w="11906" w:h="16838"/>
      <w:pgMar w:left="1134" w:right="1134" w:gutter="0" w:header="0" w:top="1134" w:footer="0" w:bottom="1134"/>
      <w:pgNumType w:start="1"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roman"/>
    <w:pitch w:val="variable"/>
  </w:font>
  <w:font w:name="OpenSymbol">
    <w:altName w:val="Arial Unicode MS"/>
    <w:charset w:val="00" w:characterSet="windows-1252"/>
    <w:family w:val="auto"/>
    <w:pitch w:val="default"/>
  </w:font>
  <w:font w:name="Calibri">
    <w:charset w:val="00" w:characterSet="windows-1252"/>
    <w:family w:val="swiss"/>
    <w:pitch w:val="variable"/>
  </w:font>
  <w:font w:name="OpenSymbol">
    <w:altName w:val="Arial Unicode MS"/>
    <w:charset w:val="02"/>
    <w:family w:val="auto"/>
    <w:pitch w:val="default"/>
  </w:font>
  <w:font w:name="Liberation Sans">
    <w:altName w:val="Arial"/>
    <w:charset w:val="00" w:characterSet="windows-1252"/>
    <w:family w:val="swiss"/>
    <w:pitch w:val="variable"/>
  </w:font>
  <w:font w:name="Calibri">
    <w:charset w:val="00" w:characterSet="windows-1252"/>
    <w:family w:val="roman"/>
    <w:pitch w:val="variable"/>
  </w:font>
  <w:font w:name="Arial">
    <w:charset w:val="00" w:characterSet="windows-1252"/>
    <w:family w:val="roman"/>
    <w:pitch w:val="variable"/>
  </w:font>
  <w:font w:name="OpenSymbol">
    <w:altName w:val="Arial Unicode MS"/>
    <w:charset w:val="01"/>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uppressLineNumbers/>
        <w:bidi w:val="0"/>
        <w:ind w:hanging="340" w:start="340"/>
        <w:jc w:val="start"/>
        <w:rPr/>
      </w:pPr>
      <w:r>
        <w:rPr>
          <w:rStyle w:val="Caratterinotaapidipagina"/>
        </w:rPr>
        <w:footnoteRef/>
      </w:r>
      <w:r>
        <w:rPr>
          <w:rStyle w:val="DefaultParagraphFont"/>
          <w:rFonts w:eastAsia="Calibri" w:cs="Calibri" w:ascii="Calibri" w:hAnsi="Calibri"/>
          <w:sz w:val="18"/>
        </w:rPr>
        <w:tab/>
        <w:t xml:space="preserve"> </w:t>
      </w:r>
      <w:r>
        <w:rPr>
          <w:rStyle w:val="DefaultParagraphFont"/>
          <w:rFonts w:cs="Calibri" w:ascii="Calibri" w:hAnsi="Calibri"/>
          <w:sz w:val="18"/>
        </w:rPr>
        <w:t>La situazione “di progetto” è quella descritta nella documentazione allegata alla domanda di agevolazione.</w:t>
      </w:r>
    </w:p>
    <w:p>
      <w:pPr>
        <w:pStyle w:val="Normal2"/>
        <w:suppressAutoHyphens w:val="true"/>
        <w:bidi w:val="0"/>
        <w:jc w:val="start"/>
        <w:rPr/>
      </w:pPr>
      <w:r>
        <w:rPr/>
      </w:r>
    </w:p>
    <w:p>
      <w:pPr>
        <w:pStyle w:val="Normal2"/>
        <w:suppressAutoHyphens w:val="true"/>
        <w:bidi w:val="0"/>
        <w:jc w:val="start"/>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720" w:hanging="360"/>
      </w:pPr>
      <w:rPr>
        <w:rFonts w:ascii="Symbol" w:hAnsi="Symbol" w:cs="Symbol" w:hint="default"/>
        <w:sz w:val="20"/>
        <w:shd w:fill="auto" w:val="clear"/>
        <w:szCs w:val="20"/>
        <w:color w:val="2A6099"/>
      </w:rPr>
    </w:lvl>
    <w:lvl w:ilvl="1">
      <w:start w:val="1"/>
      <w:numFmt w:val="bullet"/>
      <w:lvlText w:val="◦"/>
      <w:lvlJc w:val="start"/>
      <w:pPr>
        <w:tabs>
          <w:tab w:val="num" w:pos="0"/>
        </w:tabs>
        <w:ind w:start="1080" w:hanging="360"/>
      </w:pPr>
      <w:rPr>
        <w:rFonts w:ascii="OpenSymbol" w:hAnsi="OpenSymbol" w:cs="OpenSymbol" w:hint="default"/>
      </w:rPr>
    </w:lvl>
    <w:lvl w:ilvl="2">
      <w:start w:val="1"/>
      <w:numFmt w:val="bullet"/>
      <w:lvlText w:val="▪"/>
      <w:lvlJc w:val="start"/>
      <w:pPr>
        <w:tabs>
          <w:tab w:val="num" w:pos="0"/>
        </w:tabs>
        <w:ind w:start="1440" w:hanging="360"/>
      </w:pPr>
      <w:rPr>
        <w:rFonts w:ascii="OpenSymbol" w:hAnsi="OpenSymbol" w:cs="OpenSymbol" w:hint="default"/>
      </w:rPr>
    </w:lvl>
    <w:lvl w:ilvl="3">
      <w:start w:val="1"/>
      <w:numFmt w:val="bullet"/>
      <w:lvlText w:val=""/>
      <w:lvlJc w:val="start"/>
      <w:pPr>
        <w:tabs>
          <w:tab w:val="num" w:pos="0"/>
        </w:tabs>
        <w:ind w:start="1800" w:hanging="360"/>
      </w:pPr>
      <w:rPr>
        <w:rFonts w:ascii="Symbol" w:hAnsi="Symbol" w:cs="Symbol" w:hint="default"/>
        <w:sz w:val="20"/>
        <w:shd w:fill="auto" w:val="clear"/>
        <w:szCs w:val="20"/>
        <w:color w:val="2A6099"/>
      </w:rPr>
    </w:lvl>
    <w:lvl w:ilvl="4">
      <w:start w:val="1"/>
      <w:numFmt w:val="bullet"/>
      <w:lvlText w:val="◦"/>
      <w:lvlJc w:val="start"/>
      <w:pPr>
        <w:tabs>
          <w:tab w:val="num" w:pos="0"/>
        </w:tabs>
        <w:ind w:start="2160" w:hanging="360"/>
      </w:pPr>
      <w:rPr>
        <w:rFonts w:ascii="OpenSymbol" w:hAnsi="OpenSymbol" w:cs="OpenSymbol" w:hint="default"/>
      </w:rPr>
    </w:lvl>
    <w:lvl w:ilvl="5">
      <w:start w:val="1"/>
      <w:numFmt w:val="bullet"/>
      <w:lvlText w:val="▪"/>
      <w:lvlJc w:val="start"/>
      <w:pPr>
        <w:tabs>
          <w:tab w:val="num" w:pos="0"/>
        </w:tabs>
        <w:ind w:start="2520" w:hanging="360"/>
      </w:pPr>
      <w:rPr>
        <w:rFonts w:ascii="OpenSymbol" w:hAnsi="OpenSymbol" w:cs="OpenSymbol" w:hint="default"/>
      </w:rPr>
    </w:lvl>
    <w:lvl w:ilvl="6">
      <w:start w:val="1"/>
      <w:numFmt w:val="bullet"/>
      <w:lvlText w:val=""/>
      <w:lvlJc w:val="start"/>
      <w:pPr>
        <w:tabs>
          <w:tab w:val="num" w:pos="0"/>
        </w:tabs>
        <w:ind w:start="2880" w:hanging="360"/>
      </w:pPr>
      <w:rPr>
        <w:rFonts w:ascii="Symbol" w:hAnsi="Symbol" w:cs="Symbol" w:hint="default"/>
        <w:sz w:val="20"/>
        <w:shd w:fill="auto" w:val="clear"/>
        <w:szCs w:val="20"/>
        <w:color w:val="2A6099"/>
      </w:rPr>
    </w:lvl>
    <w:lvl w:ilvl="7">
      <w:start w:val="1"/>
      <w:numFmt w:val="bullet"/>
      <w:lvlText w:val="◦"/>
      <w:lvlJc w:val="start"/>
      <w:pPr>
        <w:tabs>
          <w:tab w:val="num" w:pos="0"/>
        </w:tabs>
        <w:ind w:start="3240" w:hanging="360"/>
      </w:pPr>
      <w:rPr>
        <w:rFonts w:ascii="OpenSymbol" w:hAnsi="OpenSymbol" w:cs="OpenSymbol" w:hint="default"/>
      </w:rPr>
    </w:lvl>
    <w:lvl w:ilvl="8">
      <w:start w:val="1"/>
      <w:numFmt w:val="bullet"/>
      <w:lvlText w:val="▪"/>
      <w:lvlJc w:val="start"/>
      <w:pPr>
        <w:tabs>
          <w:tab w:val="num" w:pos="0"/>
        </w:tabs>
        <w:ind w:start="3600" w:hanging="360"/>
      </w:pPr>
      <w:rPr>
        <w:rFonts w:ascii="OpenSymbol" w:hAnsi="OpenSymbol" w:cs="OpenSymbol" w:hint="default"/>
      </w:rPr>
    </w:lvl>
  </w:abstractNum>
  <w:abstractNum w:abstractNumId="3">
    <w:lvl w:ilvl="0">
      <w:start w:val="1"/>
      <w:numFmt w:val="decimal"/>
      <w:lvlText w:val="%1."/>
      <w:lvlJc w:val="start"/>
      <w:pPr>
        <w:tabs>
          <w:tab w:val="num" w:pos="0"/>
        </w:tabs>
        <w:ind w:start="72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1">
      <w:start w:val="1"/>
      <w:numFmt w:val="decimal"/>
      <w:lvlText w:val="%1.%2."/>
      <w:lvlJc w:val="start"/>
      <w:pPr>
        <w:tabs>
          <w:tab w:val="num" w:pos="0"/>
        </w:tabs>
        <w:ind w:start="108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2">
      <w:start w:val="1"/>
      <w:numFmt w:val="decimal"/>
      <w:lvlText w:val="%1.%2.%3."/>
      <w:lvlJc w:val="start"/>
      <w:pPr>
        <w:tabs>
          <w:tab w:val="num" w:pos="0"/>
        </w:tabs>
        <w:ind w:start="144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3">
      <w:start w:val="1"/>
      <w:numFmt w:val="decimal"/>
      <w:lvlText w:val="%1.%2.%3.%4."/>
      <w:lvlJc w:val="start"/>
      <w:pPr>
        <w:tabs>
          <w:tab w:val="num" w:pos="0"/>
        </w:tabs>
        <w:ind w:start="180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4">
      <w:start w:val="1"/>
      <w:numFmt w:val="decimal"/>
      <w:lvlText w:val="%1.%2.%3.%4.%5."/>
      <w:lvlJc w:val="start"/>
      <w:pPr>
        <w:tabs>
          <w:tab w:val="num" w:pos="0"/>
        </w:tabs>
        <w:ind w:start="216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5">
      <w:start w:val="1"/>
      <w:numFmt w:val="decimal"/>
      <w:lvlText w:val="%1.%2.%3.%4.%5.%6."/>
      <w:lvlJc w:val="start"/>
      <w:pPr>
        <w:tabs>
          <w:tab w:val="num" w:pos="0"/>
        </w:tabs>
        <w:ind w:start="252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6">
      <w:start w:val="1"/>
      <w:numFmt w:val="decimal"/>
      <w:lvlText w:val="%1.%2.%3.%4.%5.%6.%7."/>
      <w:lvlJc w:val="start"/>
      <w:pPr>
        <w:tabs>
          <w:tab w:val="num" w:pos="0"/>
        </w:tabs>
        <w:ind w:start="288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7">
      <w:start w:val="1"/>
      <w:numFmt w:val="decimal"/>
      <w:lvlText w:val="%1.%2.%3.%4.%5.%6.%7.%8."/>
      <w:lvlJc w:val="start"/>
      <w:pPr>
        <w:tabs>
          <w:tab w:val="num" w:pos="0"/>
        </w:tabs>
        <w:ind w:start="324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lvl w:ilvl="8">
      <w:start w:val="1"/>
      <w:numFmt w:val="decimal"/>
      <w:lvlText w:val="%1.%2.%3.%4.%5.%6.%7.%8.%9."/>
      <w:lvlJc w:val="start"/>
      <w:pPr>
        <w:tabs>
          <w:tab w:val="num" w:pos="0"/>
        </w:tabs>
        <w:ind w:start="3600" w:hanging="360"/>
      </w:pPr>
      <w:rPr>
        <w:smallCaps w:val="false"/>
        <w:caps w:val="false"/>
        <w:outline w:val="false"/>
        <w:dstrike w:val="false"/>
        <w:strike w:val="false"/>
        <w:sz w:val="22"/>
        <w:i w:val="false"/>
        <w:b/>
        <w:kern w:val="2"/>
        <w:szCs w:val="22"/>
        <w:iCs w:val="false"/>
        <w:bCs/>
        <w:em w:val="none"/>
        <w:rFonts w:ascii="Calibri" w:hAnsi="Calibri" w:eastAsia="Microsoft YaHei" w:cs="Calibri"/>
        <w:color w:val="auto"/>
      </w:rPr>
    </w:lvl>
  </w:abstractNum>
  <w:abstractNum w:abstractNumId="4">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OpenSymbol" w:hAnsi="OpenSymbol" w:cs="OpenSymbol" w:hint="default"/>
      </w:rPr>
    </w:lvl>
    <w:lvl w:ilvl="2">
      <w:start w:val="1"/>
      <w:numFmt w:val="bullet"/>
      <w:lvlText w:val="▪"/>
      <w:lvlJc w:val="start"/>
      <w:pPr>
        <w:tabs>
          <w:tab w:val="num" w:pos="1440"/>
        </w:tabs>
        <w:ind w:start="1440" w:hanging="360"/>
      </w:pPr>
      <w:rPr>
        <w:rFonts w:ascii="OpenSymbol" w:hAnsi="OpenSymbol" w:cs="Open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OpenSymbol" w:hAnsi="OpenSymbol" w:cs="OpenSymbol" w:hint="default"/>
      </w:rPr>
    </w:lvl>
    <w:lvl w:ilvl="5">
      <w:start w:val="1"/>
      <w:numFmt w:val="bullet"/>
      <w:lvlText w:val="▪"/>
      <w:lvlJc w:val="start"/>
      <w:pPr>
        <w:tabs>
          <w:tab w:val="num" w:pos="2520"/>
        </w:tabs>
        <w:ind w:start="2520" w:hanging="360"/>
      </w:pPr>
      <w:rPr>
        <w:rFonts w:ascii="OpenSymbol" w:hAnsi="OpenSymbol" w:cs="Open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OpenSymbol" w:hAnsi="OpenSymbol" w:cs="OpenSymbol" w:hint="default"/>
      </w:rPr>
    </w:lvl>
    <w:lvl w:ilvl="8">
      <w:start w:val="1"/>
      <w:numFmt w:val="bullet"/>
      <w:lvlText w:val="▪"/>
      <w:lvlJc w:val="start"/>
      <w:pPr>
        <w:tabs>
          <w:tab w:val="num" w:pos="3600"/>
        </w:tabs>
        <w:ind w:star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2"/>
    <w:lvlOverride w:ilvl="0">
      <w:startOverride w:val="0"/>
    </w:lvlOverride>
  </w:num>
  <w:num w:numId="6">
    <w:abstractNumId w:val="3"/>
    <w:lvlOverride w:ilvl="0">
      <w:startOverride w:val="1"/>
    </w:lvlOverride>
  </w:num>
</w:numbering>
</file>

<file path=word/settings.xml><?xml version="1.0" encoding="utf-8"?>
<w:settings xmlns:w="http://schemas.openxmlformats.org/wordprocessingml/2006/main">
  <w:zoom w:percent="200"/>
  <w:defaultTabStop w:val="709"/>
  <w:autoHyphenation w:val="true"/>
  <w:hyphenationZone w:val="0"/>
  <w:footnotePr>
    <w:numFmt w:val="decimal"/>
    <w:footnote w:id="0"/>
    <w:footnote w:id="1"/>
  </w:footnotePr>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kern w:val="2"/>
        <w:sz w:val="24"/>
        <w:szCs w:val="24"/>
        <w:lang w:val="it-IT"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Unicode MS"/>
      <w:color w:val="auto"/>
      <w:kern w:val="2"/>
      <w:sz w:val="24"/>
      <w:szCs w:val="24"/>
      <w:lang w:val="it-IT" w:eastAsia="zh-CN" w:bidi="hi-IN"/>
    </w:rPr>
  </w:style>
  <w:style w:type="paragraph" w:styleId="Heading1">
    <w:name w:val="heading 1"/>
    <w:basedOn w:val="normal1"/>
    <w:next w:val="Normal"/>
    <w:qFormat/>
    <w:pPr>
      <w:keepNext w:val="true"/>
      <w:keepLines w:val="false"/>
      <w:pageBreakBefore w:val="false"/>
      <w:widowControl/>
      <w:pBdr/>
      <w:spacing w:lineRule="auto" w:line="240" w:before="240" w:after="120"/>
      <w:ind w:hanging="0" w:start="0" w:end="0"/>
      <w:jc w:val="start"/>
    </w:pPr>
    <w:rPr>
      <w:rFonts w:ascii="Liberation Sans" w:hAnsi="Liberation Sans" w:eastAsia="Liberation Sans" w:cs="Liberation Sans"/>
      <w:b w:val="false"/>
      <w:bCs w:val="false"/>
      <w:i w:val="false"/>
      <w:iCs w:val="false"/>
      <w:caps w:val="false"/>
      <w:smallCaps w:val="false"/>
      <w:strike w:val="false"/>
      <w:dstrike w:val="false"/>
      <w:color w:val="000000"/>
      <w:position w:val="0"/>
      <w:sz w:val="28"/>
      <w:sz w:val="28"/>
      <w:szCs w:val="28"/>
      <w:u w:val="none"/>
      <w:vertAlign w:val="baseline"/>
    </w:rPr>
  </w:style>
  <w:style w:type="paragraph" w:styleId="Heading7">
    <w:name w:val="heading 7"/>
    <w:basedOn w:val="Titolo"/>
    <w:next w:val="BodyText"/>
    <w:qFormat/>
    <w:pPr>
      <w:numPr>
        <w:ilvl w:val="6"/>
        <w:numId w:val="1"/>
      </w:numPr>
      <w:spacing w:before="60" w:after="60"/>
      <w:outlineLvl w:val="6"/>
    </w:pPr>
    <w:rPr>
      <w:b/>
      <w:bCs/>
      <w:sz w:val="20"/>
      <w:szCs w:val="20"/>
    </w:rPr>
  </w:style>
  <w:style w:type="paragraph" w:styleId="Heading8">
    <w:name w:val="heading 8"/>
    <w:basedOn w:val="Titolo"/>
    <w:next w:val="BodyText"/>
    <w:qFormat/>
    <w:pPr>
      <w:numPr>
        <w:ilvl w:val="7"/>
        <w:numId w:val="1"/>
      </w:numPr>
      <w:spacing w:before="60" w:after="60"/>
      <w:outlineLvl w:val="7"/>
    </w:pPr>
    <w:rPr>
      <w:b/>
      <w:bCs/>
      <w:i/>
      <w:iCs/>
      <w:sz w:val="20"/>
      <w:szCs w:val="20"/>
    </w:rPr>
  </w:style>
  <w:style w:type="character" w:styleId="Hyperlink">
    <w:name w:val="Hyperlink"/>
    <w:rPr>
      <w:color w:val="000080"/>
      <w:u w:val="single"/>
    </w:rPr>
  </w:style>
  <w:style w:type="character" w:styleId="Collegamentoindice">
    <w:name w:val="Collegamento indice"/>
    <w:qFormat/>
    <w:rPr/>
  </w:style>
  <w:style w:type="character" w:styleId="DefaultParagraphFont">
    <w:name w:val="Default Paragraph Font"/>
    <w:qFormat/>
    <w:rPr/>
  </w:style>
  <w:style w:type="character" w:styleId="WWCharLFO3LVL1">
    <w:name w:val="WW_CharLFO3LVL1"/>
    <w:qFormat/>
    <w:rPr>
      <w:rFonts w:ascii="Symbol" w:hAnsi="Symbol" w:cs="OpenSymbol;Arial Unicode MS"/>
      <w:color w:val="2A6099"/>
      <w:sz w:val="20"/>
      <w:szCs w:val="20"/>
      <w:shd w:fill="auto" w:val="clear"/>
    </w:rPr>
  </w:style>
  <w:style w:type="character" w:styleId="WWCharLFO3LVL2">
    <w:name w:val="WW_CharLFO3LVL2"/>
    <w:qFormat/>
    <w:rPr>
      <w:rFonts w:ascii="OpenSymbol;Arial Unicode MS" w:hAnsi="OpenSymbol;Arial Unicode MS" w:cs="OpenSymbol;Arial Unicode MS"/>
    </w:rPr>
  </w:style>
  <w:style w:type="character" w:styleId="WWCharLFO3LVL3">
    <w:name w:val="WW_CharLFO3LVL3"/>
    <w:qFormat/>
    <w:rPr>
      <w:rFonts w:ascii="OpenSymbol;Arial Unicode MS" w:hAnsi="OpenSymbol;Arial Unicode MS" w:cs="OpenSymbol;Arial Unicode MS"/>
    </w:rPr>
  </w:style>
  <w:style w:type="character" w:styleId="WWCharLFO3LVL4">
    <w:name w:val="WW_CharLFO3LVL4"/>
    <w:qFormat/>
    <w:rPr>
      <w:rFonts w:ascii="Symbol" w:hAnsi="Symbol" w:cs="OpenSymbol;Arial Unicode MS"/>
      <w:color w:val="2A6099"/>
      <w:sz w:val="20"/>
      <w:szCs w:val="20"/>
      <w:shd w:fill="auto" w:val="clear"/>
    </w:rPr>
  </w:style>
  <w:style w:type="character" w:styleId="WWCharLFO3LVL5">
    <w:name w:val="WW_CharLFO3LVL5"/>
    <w:qFormat/>
    <w:rPr>
      <w:rFonts w:ascii="OpenSymbol;Arial Unicode MS" w:hAnsi="OpenSymbol;Arial Unicode MS" w:cs="OpenSymbol;Arial Unicode MS"/>
    </w:rPr>
  </w:style>
  <w:style w:type="character" w:styleId="WWCharLFO3LVL6">
    <w:name w:val="WW_CharLFO3LVL6"/>
    <w:qFormat/>
    <w:rPr>
      <w:rFonts w:ascii="OpenSymbol;Arial Unicode MS" w:hAnsi="OpenSymbol;Arial Unicode MS" w:cs="OpenSymbol;Arial Unicode MS"/>
    </w:rPr>
  </w:style>
  <w:style w:type="character" w:styleId="WWCharLFO3LVL7">
    <w:name w:val="WW_CharLFO3LVL7"/>
    <w:qFormat/>
    <w:rPr>
      <w:rFonts w:ascii="Symbol" w:hAnsi="Symbol" w:cs="OpenSymbol;Arial Unicode MS"/>
      <w:color w:val="2A6099"/>
      <w:sz w:val="20"/>
      <w:szCs w:val="20"/>
      <w:shd w:fill="auto" w:val="clear"/>
    </w:rPr>
  </w:style>
  <w:style w:type="character" w:styleId="WWCharLFO3LVL8">
    <w:name w:val="WW_CharLFO3LVL8"/>
    <w:qFormat/>
    <w:rPr>
      <w:rFonts w:ascii="OpenSymbol;Arial Unicode MS" w:hAnsi="OpenSymbol;Arial Unicode MS" w:cs="OpenSymbol;Arial Unicode MS"/>
    </w:rPr>
  </w:style>
  <w:style w:type="character" w:styleId="WWCharLFO3LVL9">
    <w:name w:val="WW_CharLFO3LVL9"/>
    <w:qFormat/>
    <w:rPr>
      <w:rFonts w:ascii="OpenSymbol;Arial Unicode MS" w:hAnsi="OpenSymbol;Arial Unicode MS" w:cs="OpenSymbol;Arial Unicode MS"/>
    </w:rPr>
  </w:style>
  <w:style w:type="character" w:styleId="Caratterenotaapidipagina">
    <w:name w:val="Carattere nota a piè di pagina"/>
    <w:qFormat/>
    <w:rPr>
      <w:vertAlign w:val="superscript"/>
    </w:rPr>
  </w:style>
  <w:style w:type="character" w:styleId="WWCharLFO2LVL1">
    <w:name w:val="WW_CharLFO2LVL1"/>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2">
    <w:name w:val="WW_CharLFO2LVL2"/>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3">
    <w:name w:val="WW_CharLFO2LVL3"/>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4">
    <w:name w:val="WW_CharLFO2LVL4"/>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5">
    <w:name w:val="WW_CharLFO2LVL5"/>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6">
    <w:name w:val="WW_CharLFO2LVL6"/>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7">
    <w:name w:val="WW_CharLFO2LVL7"/>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8">
    <w:name w:val="WW_CharLFO2LVL8"/>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WWCharLFO2LVL9">
    <w:name w:val="WW_CharLFO2LVL9"/>
    <w:qFormat/>
    <w:rPr>
      <w:rFonts w:ascii="Calibri" w:hAnsi="Calibri" w:eastAsia="Microsoft YaHei" w:cs="Calibri"/>
      <w:b/>
      <w:bCs/>
      <w:i w:val="false"/>
      <w:iCs w:val="false"/>
      <w:caps w:val="false"/>
      <w:smallCaps w:val="false"/>
      <w:strike w:val="false"/>
      <w:dstrike w:val="false"/>
      <w:outline w:val="false"/>
      <w:color w:val="auto"/>
      <w:kern w:val="2"/>
      <w:sz w:val="22"/>
      <w:szCs w:val="22"/>
      <w:em w:val="none"/>
    </w:rPr>
  </w:style>
  <w:style w:type="character" w:styleId="Punti">
    <w:name w:val="Punti"/>
    <w:qFormat/>
    <w:rPr>
      <w:rFonts w:ascii="OpenSymbol" w:hAnsi="OpenSymbol" w:eastAsia="OpenSymbol" w:cs="OpenSymbol"/>
    </w:rPr>
  </w:style>
  <w:style w:type="character" w:styleId="Caratterinotaapidipagina">
    <w:name w:val="Caratteri nota a piè di pagina"/>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Caratterinotadichiusura">
    <w:name w:val="Caratteri nota di chiusura"/>
    <w:qFormat/>
    <w:rPr/>
  </w:style>
  <w:style w:type="paragraph" w:styleId="Titolo">
    <w:name w:val="Titolo"/>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ice">
    <w:name w:val="Indice"/>
    <w:basedOn w:val="Normal"/>
    <w:qFormat/>
    <w:pPr>
      <w:suppressLineNumbers/>
    </w:pPr>
    <w:rPr>
      <w:rFonts w:cs="Arial Unicode MS"/>
    </w:rPr>
  </w:style>
  <w:style w:type="paragraph" w:styleId="Contenutotabella">
    <w:name w:val="Contenuto tabella"/>
    <w:basedOn w:val="Normal"/>
    <w:qFormat/>
    <w:pPr>
      <w:widowControl w:val="false"/>
      <w:suppressLineNumbers/>
    </w:pPr>
    <w:rPr/>
  </w:style>
  <w:style w:type="paragraph" w:styleId="IndexHeading">
    <w:name w:val="index heading"/>
    <w:basedOn w:val="Titolo"/>
    <w:pPr>
      <w:suppressLineNumbers/>
      <w:suppressAutoHyphens w:val="true"/>
    </w:pPr>
    <w:rPr>
      <w:b/>
      <w:bCs/>
      <w:sz w:val="32"/>
      <w:szCs w:val="32"/>
    </w:rPr>
  </w:style>
  <w:style w:type="paragraph" w:styleId="TOCHeading">
    <w:name w:val="TOC Heading"/>
    <w:basedOn w:val="IndexHeading"/>
    <w:qFormat/>
    <w:pPr>
      <w:suppressAutoHyphens w:val="true"/>
    </w:pPr>
    <w:rPr/>
  </w:style>
  <w:style w:type="paragraph" w:styleId="TOC7">
    <w:name w:val="toc 7"/>
    <w:basedOn w:val="Indice"/>
    <w:pPr>
      <w:tabs>
        <w:tab w:val="clear" w:pos="709"/>
        <w:tab w:val="right" w:pos="9638" w:leader="dot"/>
      </w:tabs>
      <w:ind w:hanging="0" w:start="1701"/>
    </w:pPr>
    <w:rPr/>
  </w:style>
  <w:style w:type="paragraph" w:styleId="TOC8">
    <w:name w:val="toc 8"/>
    <w:basedOn w:val="Indice"/>
    <w:pPr>
      <w:tabs>
        <w:tab w:val="clear" w:pos="709"/>
        <w:tab w:val="right" w:pos="9638" w:leader="dot"/>
      </w:tabs>
      <w:ind w:hanging="0" w:start="1984"/>
    </w:pPr>
    <w:rPr/>
  </w:style>
  <w:style w:type="paragraph" w:styleId="normal1">
    <w:name w:val="normal1"/>
    <w:qFormat/>
    <w:pPr>
      <w:widowControl/>
      <w:bidi w:val="0"/>
      <w:jc w:val="start"/>
    </w:pPr>
    <w:rPr>
      <w:rFonts w:ascii="Liberation Serif" w:hAnsi="Liberation Serif" w:eastAsia="NSimSun" w:cs="Arial Unicode MS"/>
      <w:color w:val="auto"/>
      <w:kern w:val="2"/>
      <w:sz w:val="24"/>
      <w:szCs w:val="24"/>
      <w:lang w:val="it-IT" w:eastAsia="zh-CN" w:bidi="hi-IN"/>
    </w:rPr>
  </w:style>
  <w:style w:type="paragraph" w:styleId="FootnoteText">
    <w:name w:val="footnote text"/>
    <w:basedOn w:val="Normal"/>
    <w:pPr>
      <w:suppressLineNumbers/>
      <w:ind w:hanging="340" w:start="340"/>
    </w:pPr>
    <w:rPr>
      <w:sz w:val="20"/>
      <w:szCs w:val="20"/>
    </w:rPr>
  </w:style>
  <w:style w:type="paragraph" w:styleId="Normal2">
    <w:name w:val="Normal2"/>
    <w:qFormat/>
    <w:pPr>
      <w:widowControl/>
      <w:suppressAutoHyphens w:val="true"/>
      <w:bidi w:val="0"/>
    </w:pPr>
    <w:rPr>
      <w:rFonts w:ascii="Liberation Serif" w:hAnsi="Liberation Serif" w:eastAsia="NSimSun" w:cs="Arial Unicode MS"/>
      <w:color w:val="auto"/>
      <w:kern w:val="2"/>
      <w:sz w:val="24"/>
      <w:szCs w:val="24"/>
      <w:lang w:val="it-IT" w:eastAsia="zh-CN" w:bidi="hi-IN"/>
    </w:rPr>
  </w:style>
  <w:style w:type="paragraph" w:styleId="BodyText1">
    <w:name w:val="Body Text1"/>
    <w:basedOn w:val="Normal2"/>
    <w:qFormat/>
    <w:pPr>
      <w:suppressAutoHyphens w:val="false"/>
      <w:autoSpaceDE w:val="false"/>
      <w:textAlignment w:val="auto"/>
    </w:pPr>
    <w:rPr>
      <w:rFonts w:ascii="Arial" w:hAnsi="Arial" w:eastAsia="Arial" w:cs="Arial"/>
      <w:kern w:val="0"/>
      <w:sz w:val="22"/>
      <w:szCs w:val="22"/>
      <w:lang w:eastAsia="en-US" w:bidi="ar-SA"/>
    </w:rPr>
  </w:style>
  <w:style w:type="numbering" w:styleId="WW8Num3">
    <w:name w:val="WW8Num3"/>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LibreOffice/25.8.3.2$Windows_X86_64 LibreOffice_project/8ca8d55c161d602844f5428fa4b58097424e324e</Application>
  <AppVersion>15.0000</AppVersion>
  <Pages>6</Pages>
  <Words>1144</Words>
  <Characters>7374</Characters>
  <CharactersWithSpaces>8462</CharactersWithSpaces>
  <Paragraphs>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2026-07-31T12:42:42Z</dcterms:created>
  <dc:creator/>
  <dc:description/>
  <dc:language>it-IT</dc:language>
  <cp:lastModifiedBy/>
  <dcterms:modified xsi:type="dcterms:W3CDTF">2026-07-31T12:43:20Z</dcterms:modified>
  <cp:revision>1</cp:revision>
  <dc:subject/>
  <dc:title/>
</cp:coreProperties>
</file>