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rFonts w:ascii="Liberation Serif" w:hAnsi="Liberation Serif" w:eastAsia="Liberation Serif" w:cs="Liberation Serif"/>
          <w:color w:val="000000"/>
          <w:sz w:val="24"/>
          <w:szCs w:val="24"/>
        </w:rPr>
      </w:pPr>
      <w:r>
        <w:rPr>
          <w:rFonts w:eastAsia="Liberation Serif" w:cs="Liberation Serif"/>
          <w:color w:val="000000"/>
          <w:sz w:val="24"/>
          <w:szCs w:val="24"/>
        </w:rPr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-114935</wp:posOffset>
            </wp:positionH>
            <wp:positionV relativeFrom="paragraph">
              <wp:posOffset>-62230</wp:posOffset>
            </wp:positionV>
            <wp:extent cx="6299200" cy="499110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499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09"/>
          <w:tab w:val="left" w:pos="338" w:leader="none"/>
        </w:tabs>
        <w:bidi w:val="0"/>
        <w:jc w:val="start"/>
        <w:rPr>
          <w:rFonts w:ascii="Liberation Serif" w:hAnsi="Liberation Serif" w:eastAsia="Liberation Serif" w:cs="Liberation Serif"/>
          <w:color w:val="000000"/>
          <w:sz w:val="24"/>
          <w:szCs w:val="24"/>
        </w:rPr>
      </w:pPr>
      <w:r>
        <w:rPr>
          <w:rFonts w:eastAsia="Liberation Serif" w:cs="Liberation Serif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Liberation Serif" w:hAnsi="Liberation Serif" w:eastAsia="Liberation Serif" w:cs="Liberation Serif"/>
          <w:color w:val="000000"/>
          <w:sz w:val="24"/>
          <w:szCs w:val="24"/>
        </w:rPr>
      </w:pPr>
      <w:r>
        <w:rPr>
          <w:rFonts w:eastAsia="Liberation Serif" w:cs="Liberation Serif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Liberation Serif" w:hAnsi="Liberation Serif" w:eastAsia="Liberation Serif" w:cs="Liberation Serif"/>
          <w:color w:val="000000"/>
          <w:sz w:val="24"/>
          <w:szCs w:val="24"/>
        </w:rPr>
      </w:pPr>
      <w:r>
        <w:rPr>
          <w:rFonts w:eastAsia="Liberation Serif" w:cs="Liberation Serif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Liberation Serif" w:hAnsi="Liberation Serif" w:eastAsia="Liberation Serif" w:cs="Liberation Serif"/>
          <w:color w:val="000000"/>
          <w:sz w:val="24"/>
          <w:szCs w:val="24"/>
        </w:rPr>
      </w:pPr>
      <w:r>
        <w:rPr>
          <w:rFonts w:eastAsia="Liberation Serif" w:cs="Liberation Serif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  <w:bookmarkStart w:id="0" w:name="bookmark=kix.mtzu1ug957bl"/>
      <w:bookmarkStart w:id="1" w:name="bookmark=kix.mtzu1ug957bl"/>
      <w:bookmarkEnd w:id="1"/>
    </w:p>
    <w:p>
      <w:pPr>
        <w:pStyle w:val="Normal"/>
        <w:bidi w:val="0"/>
        <w:jc w:val="start"/>
        <w:rPr>
          <w:sz w:val="24"/>
          <w:szCs w:val="24"/>
        </w:rPr>
      </w:pPr>
      <w:r>
        <w:rPr>
          <w:rFonts w:eastAsia="Liberation Serif" w:cs="Liberation Serif"/>
          <w:color w:val="000000"/>
          <w:sz w:val="24"/>
          <w:szCs w:val="24"/>
        </w:rPr>
        <w:drawing>
          <wp:inline distT="0" distB="0" distL="0" distR="0">
            <wp:extent cx="6116320" cy="4229100"/>
            <wp:effectExtent l="0" t="0" r="0" b="0"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422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Liberation Serif" w:cs="Liberation Serif"/>
          <w:color w:val="000000"/>
          <w:sz w:val="24"/>
          <w:szCs w:val="24"/>
        </w:rPr>
        <w:t xml:space="preserve"> </w:t>
      </w:r>
    </w:p>
    <w:p>
      <w:pPr>
        <w:pStyle w:val="Normal"/>
        <w:bidi w:val="0"/>
        <w:jc w:val="start"/>
        <w:rPr>
          <w:rFonts w:ascii="Liberation Serif" w:hAnsi="Liberation Serif" w:eastAsia="Liberation Serif" w:cs="Liberation Serif"/>
          <w:color w:val="000000"/>
          <w:sz w:val="24"/>
          <w:szCs w:val="24"/>
        </w:rPr>
      </w:pPr>
      <w:r>
        <w:rPr>
          <w:rFonts w:eastAsia="Liberation Serif" w:cs="Liberation Serif"/>
          <w:color w:val="000000"/>
          <w:sz w:val="24"/>
          <w:szCs w:val="24"/>
        </w:rPr>
        <w:t xml:space="preserve">                                                                    </w:t>
      </w:r>
    </w:p>
    <w:p>
      <w:pPr>
        <w:pStyle w:val="Normal"/>
        <w:bidi w:val="0"/>
        <w:jc w:val="start"/>
        <w:rPr>
          <w:rFonts w:ascii="Liberation Serif" w:hAnsi="Liberation Serif" w:eastAsia="Liberation Serif" w:cs="Liberation Serif"/>
          <w:color w:val="000000"/>
          <w:sz w:val="24"/>
          <w:szCs w:val="24"/>
        </w:rPr>
      </w:pPr>
      <w:r>
        <w:rPr>
          <w:rFonts w:eastAsia="Liberation Serif" w:cs="Liberation Serif"/>
          <w:color w:val="000000"/>
          <w:sz w:val="24"/>
          <w:szCs w:val="24"/>
        </w:rPr>
      </w:r>
    </w:p>
    <w:p>
      <w:pPr>
        <w:pStyle w:val="Normal"/>
        <w:bidi w:val="0"/>
        <w:spacing w:lineRule="auto" w:line="276" w:before="0" w:after="140"/>
        <w:jc w:val="start"/>
        <w:rPr>
          <w:rFonts w:ascii="Liberation Serif" w:hAnsi="Liberation Serif" w:eastAsia="Liberation Serif" w:cs="Liberation Serif"/>
          <w:color w:val="000000"/>
          <w:sz w:val="24"/>
          <w:szCs w:val="24"/>
        </w:rPr>
      </w:pPr>
      <w:r>
        <w:rPr>
          <w:rFonts w:eastAsia="Liberation Serif" w:cs="Liberation Serif"/>
          <w:color w:val="000000"/>
          <w:sz w:val="24"/>
          <w:szCs w:val="24"/>
        </w:rPr>
      </w:r>
    </w:p>
    <w:p>
      <w:pPr>
        <w:pStyle w:val="Normal"/>
        <w:bidi w:val="0"/>
        <w:spacing w:lineRule="auto" w:line="276" w:before="0" w:after="140"/>
        <w:jc w:val="start"/>
        <w:rPr>
          <w:rFonts w:ascii="Liberation Serif" w:hAnsi="Liberation Serif" w:eastAsia="Liberation Serif" w:cs="Liberation Serif"/>
          <w:color w:val="000000"/>
          <w:sz w:val="24"/>
          <w:szCs w:val="24"/>
        </w:rPr>
      </w:pPr>
      <w:r>
        <w:rPr>
          <w:rFonts w:eastAsia="Liberation Serif" w:cs="Liberation Serif"/>
          <w:color w:val="000000"/>
          <w:sz w:val="24"/>
          <w:szCs w:val="24"/>
        </w:rPr>
      </w:r>
    </w:p>
    <w:p>
      <w:pPr>
        <w:pStyle w:val="Normal"/>
        <w:shd w:fill="FFFFFF" w:val="clear"/>
        <w:bidi w:val="0"/>
        <w:spacing w:lineRule="auto" w:line="240" w:before="240" w:after="120"/>
        <w:jc w:val="center"/>
        <w:rPr>
          <w:sz w:val="24"/>
          <w:szCs w:val="24"/>
        </w:rPr>
      </w:pPr>
      <w:r>
        <w:rPr>
          <w:sz w:val="24"/>
          <w:szCs w:val="24"/>
        </w:rPr>
      </w:r>
      <w:bookmarkStart w:id="2" w:name="bookmark=kix.b0l9evdcdc0g"/>
      <w:bookmarkStart w:id="3" w:name="bookmark=kix.b0l9evdcdc0g"/>
      <w:bookmarkEnd w:id="3"/>
    </w:p>
    <w:p>
      <w:pPr>
        <w:pStyle w:val="Normal"/>
        <w:shd w:fill="FFFFFF" w:val="clear"/>
        <w:bidi w:val="0"/>
        <w:spacing w:lineRule="auto" w:line="240" w:before="240" w:after="120"/>
        <w:jc w:val="center"/>
        <w:rPr>
          <w:b/>
          <w:bCs/>
          <w:color w:val="000000"/>
          <w:sz w:val="24"/>
          <w:szCs w:val="24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7">
                <wp:simplePos x="0" y="0"/>
                <wp:positionH relativeFrom="column">
                  <wp:posOffset>-728345</wp:posOffset>
                </wp:positionH>
                <wp:positionV relativeFrom="paragraph">
                  <wp:posOffset>-319405</wp:posOffset>
                </wp:positionV>
                <wp:extent cx="7579360" cy="704215"/>
                <wp:effectExtent l="0" t="97790" r="0" b="0"/>
                <wp:wrapNone/>
                <wp:docPr id="3" name="Imag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9440" cy="704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spacing w:before="0" w:after="0" w:lineRule="exact" w:line="240"/>
                              <w:ind w:start="0" w:end="0" w:hanging="0"/>
                              <w:jc w:val="center"/>
                              <w:rPr/>
                            </w:pPr>
                            <w:r>
                              <w:rPr>
                                <w:sz w:val="44"/>
                                <w:b/>
                                <w:dstrike w:val="false"/>
                                <w:strike w:val="false"/>
                                <w:i w:val="false"/>
                                <w:vertAlign w:val="baseline"/>
                                <w:position w:val="0"/>
                                <w:smallCaps w:val="false"/>
                                <w:cap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ALLEGATO 6 </w:t>
                            </w:r>
                          </w:p>
                          <w:p>
                            <w:pPr>
                              <w:overflowPunct w:val="false"/>
                              <w:bidi w:val="0"/>
                              <w:spacing w:before="0" w:after="0" w:lineRule="exact" w:line="240"/>
                              <w:ind w:start="0" w:end="0" w:hanging="0"/>
                              <w:jc w:val="center"/>
                              <w:rPr/>
                            </w:pPr>
                            <w:r>
                              <w:rPr>
                                <w:sz w:val="36"/>
                              </w:rPr>
                            </w:r>
                          </w:p>
                          <w:p>
                            <w:pPr>
                              <w:overflowPunct w:val="false"/>
                              <w:bidi w:val="0"/>
                              <w:spacing w:before="0" w:after="0" w:lineRule="exact" w:line="240"/>
                              <w:ind w:start="0" w:end="0" w:hanging="0"/>
                              <w:jc w:val="center"/>
                              <w:rPr/>
                            </w:pPr>
                            <w:r>
                              <w:rPr>
                                <w:sz w:val="44"/>
                                <w:b/>
                                <w:dstrike w:val="false"/>
                                <w:strike w:val="false"/>
                                <w:i w:val="false"/>
                                <w:vertAlign w:val="baseline"/>
                                <w:position w:val="0"/>
                                <w:smallCaps w:val="false"/>
                                <w:caps w:val="false"/>
                                <w:rFonts w:ascii="Calibri" w:hAnsi="Calibri" w:eastAsia="Calibri" w:cs="Calibri"/>
                                <w:color w:val="000000"/>
                              </w:rPr>
                              <w:t>Schema di Relazione Tecnico-Economica di  Sintesi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path="m0,0l-2147483645,0l-2147483645,-2147483646l0,-2147483646xe" stroked="f" o:allowincell="f" style="position:absolute;margin-left:-57.35pt;margin-top:-25.15pt;width:596.75pt;height:55.4pt;mso-wrap-style:square;v-text-anchor:top">
                <v:textbox>
                  <w:txbxContent>
                    <w:p>
                      <w:pPr>
                        <w:overflowPunct w:val="false"/>
                        <w:bidi w:val="0"/>
                        <w:spacing w:before="0" w:after="0" w:lineRule="exact" w:line="240"/>
                        <w:ind w:start="0" w:end="0" w:hanging="0"/>
                        <w:jc w:val="center"/>
                        <w:rPr/>
                      </w:pPr>
                      <w:r>
                        <w:rPr>
                          <w:sz w:val="44"/>
                          <w:b/>
                          <w:dstrike w:val="false"/>
                          <w:strike w:val="false"/>
                          <w:i w:val="false"/>
                          <w:vertAlign w:val="baseline"/>
                          <w:position w:val="0"/>
                          <w:smallCaps w:val="false"/>
                          <w:caps w:val="false"/>
                          <w:rFonts w:ascii="Calibri" w:hAnsi="Calibri" w:eastAsia="Calibri" w:cs="Calibri"/>
                          <w:color w:val="000000"/>
                        </w:rPr>
                        <w:t xml:space="preserve">ALLEGATO 6 </w:t>
                      </w:r>
                    </w:p>
                    <w:p>
                      <w:pPr>
                        <w:overflowPunct w:val="false"/>
                        <w:bidi w:val="0"/>
                        <w:spacing w:before="0" w:after="0" w:lineRule="exact" w:line="240"/>
                        <w:ind w:start="0" w:end="0" w:hanging="0"/>
                        <w:jc w:val="center"/>
                        <w:rPr/>
                      </w:pPr>
                      <w:r>
                        <w:rPr>
                          <w:sz w:val="36"/>
                        </w:rPr>
                      </w:r>
                    </w:p>
                    <w:p>
                      <w:pPr>
                        <w:overflowPunct w:val="false"/>
                        <w:bidi w:val="0"/>
                        <w:spacing w:before="0" w:after="0" w:lineRule="exact" w:line="240"/>
                        <w:ind w:start="0" w:end="0" w:hanging="0"/>
                        <w:jc w:val="center"/>
                        <w:rPr/>
                      </w:pPr>
                      <w:r>
                        <w:rPr>
                          <w:sz w:val="44"/>
                          <w:b/>
                          <w:dstrike w:val="false"/>
                          <w:strike w:val="false"/>
                          <w:i w:val="false"/>
                          <w:vertAlign w:val="baseline"/>
                          <w:position w:val="0"/>
                          <w:smallCaps w:val="false"/>
                          <w:caps w:val="false"/>
                          <w:rFonts w:ascii="Calibri" w:hAnsi="Calibri" w:eastAsia="Calibri" w:cs="Calibri"/>
                          <w:color w:val="000000"/>
                        </w:rPr>
                        <w:t>Schema di Relazione Tecnico-Economica di  Sintesi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b/>
          <w:bCs/>
          <w:color w:val="000000"/>
          <w:sz w:val="24"/>
          <w:szCs w:val="24"/>
        </w:rPr>
        <w:t xml:space="preserve"> </w:t>
      </w:r>
    </w:p>
    <w:p>
      <w:pPr>
        <w:pStyle w:val="Normal"/>
        <w:shd w:fill="FFFFFF" w:val="clear"/>
        <w:bidi w:val="0"/>
        <w:spacing w:lineRule="auto" w:line="240" w:before="240" w:after="12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shd w:fill="FFFFFF" w:val="clear"/>
        <w:bidi w:val="0"/>
        <w:spacing w:lineRule="auto" w:line="240" w:before="240" w:after="12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                                                                </w:t>
      </w:r>
    </w:p>
    <w:p>
      <w:pPr>
        <w:pStyle w:val="Normal"/>
        <w:shd w:fill="FFFFFF" w:val="clear"/>
        <w:bidi w:val="0"/>
        <w:spacing w:lineRule="auto" w:line="240" w:before="240" w:after="12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</w:t>
      </w:r>
    </w:p>
    <w:p>
      <w:pPr>
        <w:pStyle w:val="Normal"/>
        <w:shd w:fill="FFFFFF" w:val="clear"/>
        <w:bidi w:val="0"/>
        <w:spacing w:lineRule="auto" w:line="240" w:before="240" w:after="12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4687570</wp:posOffset>
            </wp:positionH>
            <wp:positionV relativeFrom="paragraph">
              <wp:posOffset>507365</wp:posOffset>
            </wp:positionV>
            <wp:extent cx="1552575" cy="971550"/>
            <wp:effectExtent l="0" t="0" r="0" b="0"/>
            <wp:wrapSquare wrapText="bothSides"/>
            <wp:docPr id="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6">
            <wp:simplePos x="0" y="0"/>
            <wp:positionH relativeFrom="column">
              <wp:posOffset>-800100</wp:posOffset>
            </wp:positionH>
            <wp:positionV relativeFrom="paragraph">
              <wp:posOffset>353695</wp:posOffset>
            </wp:positionV>
            <wp:extent cx="7559675" cy="99695"/>
            <wp:effectExtent l="0" t="0" r="0" b="0"/>
            <wp:wrapSquare wrapText="bothSides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99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shd w:fill="FFFFFF" w:val="clear"/>
        <w:bidi w:val="0"/>
        <w:spacing w:lineRule="auto" w:line="240" w:before="240" w:after="12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shd w:fill="FFFFFF" w:val="clear"/>
        <w:bidi w:val="0"/>
        <w:spacing w:lineRule="auto" w:line="240" w:before="240" w:after="12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pBdr>
          <w:top w:val="single" w:sz="8" w:space="4" w:color="1F4E79"/>
          <w:bottom w:val="single" w:sz="8" w:space="4" w:color="1F4E79"/>
        </w:pBdr>
        <w:bidi w:val="0"/>
        <w:spacing w:lineRule="auto" w:line="240" w:before="0" w:after="80"/>
        <w:jc w:val="start"/>
        <w:rPr>
          <w:rFonts w:ascii="Arial" w:hAnsi="Arial" w:eastAsia="Arial" w:cs="Arial"/>
          <w:b/>
          <w:bCs/>
          <w:color w:val="1F4E79"/>
          <w:sz w:val="24"/>
          <w:szCs w:val="24"/>
        </w:rPr>
      </w:pPr>
      <w:r>
        <w:rPr>
          <w:rFonts w:eastAsia="Arial" w:cs="Arial" w:ascii="Arial" w:hAnsi="Arial"/>
          <w:b/>
          <w:bCs/>
          <w:color w:val="1F4E79"/>
          <w:sz w:val="24"/>
          <w:szCs w:val="24"/>
        </w:rPr>
        <w:t>Dati di base</w:t>
      </w:r>
    </w:p>
    <w:p>
      <w:pPr>
        <w:pStyle w:val="Normal"/>
        <w:bidi w:val="0"/>
        <w:spacing w:lineRule="auto" w:line="240" w:before="60" w:after="40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200" w:type="dxa"/>
        <w:jc w:val="start"/>
        <w:tblInd w:w="-5" w:type="dxa"/>
        <w:tblLayout w:type="fixed"/>
        <w:tblCellMar>
          <w:top w:w="70" w:type="dxa"/>
          <w:start w:w="120" w:type="dxa"/>
          <w:bottom w:w="70" w:type="dxa"/>
          <w:end w:w="120" w:type="dxa"/>
        </w:tblCellMar>
      </w:tblPr>
      <w:tblGrid>
        <w:gridCol w:w="2800"/>
        <w:gridCol w:w="6400"/>
      </w:tblGrid>
      <w:tr>
        <w:trPr/>
        <w:tc>
          <w:tcPr>
            <w:tcW w:w="28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shd w:fill="DEEAF1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1F4E79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>Comune beneficiario</w:t>
            </w:r>
          </w:p>
        </w:tc>
        <w:tc>
          <w:tcPr>
            <w:tcW w:w="64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shd w:fill="DEEAF1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1F4E79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>Codice fiscale / P.IVA</w:t>
            </w:r>
          </w:p>
        </w:tc>
        <w:tc>
          <w:tcPr>
            <w:tcW w:w="64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shd w:fill="DEEAF1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1F4E79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>Responsabile del Procedimento (RUP)</w:t>
            </w:r>
          </w:p>
        </w:tc>
        <w:tc>
          <w:tcPr>
            <w:tcW w:w="64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shd w:fill="DEEAF1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1F4E79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>Titolo del progetto</w:t>
            </w:r>
          </w:p>
        </w:tc>
        <w:tc>
          <w:tcPr>
            <w:tcW w:w="64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shd w:fill="DEEAF1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1F4E79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>Codice CUP</w:t>
            </w:r>
          </w:p>
        </w:tc>
        <w:tc>
          <w:tcPr>
            <w:tcW w:w="64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shd w:fill="DEEAF1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1F4E79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>Importo totale costi ammissibili (€)</w:t>
            </w:r>
          </w:p>
        </w:tc>
        <w:tc>
          <w:tcPr>
            <w:tcW w:w="64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shd w:fill="DEEAF1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1F4E79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>Contributo FESR richiesto (€)</w:t>
            </w:r>
          </w:p>
        </w:tc>
        <w:tc>
          <w:tcPr>
            <w:tcW w:w="64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shd w:fill="DEEAF1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1F4E79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>Data di redazione</w:t>
            </w:r>
          </w:p>
        </w:tc>
        <w:tc>
          <w:tcPr>
            <w:tcW w:w="64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bidi w:val="0"/>
        <w:spacing w:lineRule="auto" w:line="240" w:before="200" w:after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start"/>
        <w:rPr>
          <w:rFonts w:ascii="Arial" w:hAnsi="Arial" w:eastAsia="Arial" w:cs="Arial"/>
          <w:i/>
          <w:i/>
          <w:iCs/>
          <w:color w:val="666666"/>
          <w:sz w:val="24"/>
          <w:szCs w:val="24"/>
        </w:rPr>
      </w:pPr>
      <w:r>
        <w:rPr>
          <w:rFonts w:eastAsia="Arial" w:cs="Arial" w:ascii="Arial" w:hAnsi="Arial"/>
          <w:i/>
          <w:iCs/>
          <w:color w:val="666666"/>
          <w:sz w:val="24"/>
          <w:szCs w:val="24"/>
        </w:rPr>
        <w:t xml:space="preserve">La presente relazione è redatta ai sensi del par. 3.1 del Bando e costituisce allegato obbligatorio alla domanda di agevolazione. Deve essere sottoscritta con firma digitale dal Responsabile del Procedimento (RUP). La qualità dell'elaborato è oggetto di valutazione ai sensi dell'Allegato </w:t>
      </w:r>
      <w:r>
        <w:rPr>
          <w:rFonts w:eastAsia="Arial" w:cs="Arial" w:ascii="Arial" w:hAnsi="Arial"/>
          <w:i/>
          <w:iCs/>
          <w:color w:val="666666"/>
          <w:sz w:val="24"/>
          <w:szCs w:val="24"/>
        </w:rPr>
        <w:t>15</w:t>
      </w:r>
      <w:r>
        <w:rPr>
          <w:rFonts w:eastAsia="Arial" w:cs="Arial" w:ascii="Arial" w:hAnsi="Arial"/>
          <w:i/>
          <w:iCs/>
          <w:color w:val="666666"/>
          <w:sz w:val="24"/>
          <w:szCs w:val="24"/>
        </w:rPr>
        <w:t xml:space="preserve"> — Griglia dei criteri di valutazione.</w:t>
      </w:r>
    </w:p>
    <w:p>
      <w:pPr>
        <w:pStyle w:val="Normal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1"/>
        <w:pBdr>
          <w:bottom w:val="single" w:sz="8" w:space="2" w:color="1F4E79"/>
        </w:pBdr>
        <w:spacing w:lineRule="auto" w:line="240" w:before="400" w:after="160"/>
        <w:rPr>
          <w:rFonts w:ascii="Arial" w:hAnsi="Arial" w:eastAsia="Arial" w:cs="Arial"/>
          <w:b/>
          <w:bCs/>
          <w:color w:val="1F4E79"/>
          <w:sz w:val="24"/>
          <w:szCs w:val="24"/>
        </w:rPr>
      </w:pPr>
      <w:r>
        <w:rPr>
          <w:rFonts w:eastAsia="Arial" w:cs="Arial"/>
          <w:b/>
          <w:bCs/>
          <w:color w:val="1F4E79"/>
          <w:sz w:val="24"/>
          <w:szCs w:val="24"/>
        </w:rPr>
        <w:t>1. Premessa e inquadramento programmatico</w:t>
      </w:r>
    </w:p>
    <w:tbl>
      <w:tblPr>
        <w:tblW w:w="9200" w:type="dxa"/>
        <w:jc w:val="start"/>
        <w:tblInd w:w="0" w:type="dxa"/>
        <w:tblLayout w:type="fixed"/>
        <w:tblCellMar>
          <w:top w:w="60" w:type="dxa"/>
          <w:start w:w="160" w:type="dxa"/>
          <w:bottom w:w="40" w:type="dxa"/>
          <w:end w:w="160" w:type="dxa"/>
        </w:tblCellMar>
      </w:tblPr>
      <w:tblGrid>
        <w:gridCol w:w="9200"/>
      </w:tblGrid>
      <w:tr>
        <w:trPr/>
        <w:tc>
          <w:tcPr>
            <w:tcW w:w="9200" w:type="dxa"/>
            <w:tcBorders/>
            <w:shd w:fill="FCE4D6" w:val="clear"/>
          </w:tcPr>
          <w:p>
            <w:pPr>
              <w:pStyle w:val="Normal"/>
              <w:bidi w:val="0"/>
              <w:spacing w:lineRule="auto" w:line="240" w:before="60" w:after="80"/>
              <w:rPr>
                <w:rFonts w:ascii="Arial" w:hAnsi="Arial" w:eastAsia="Arial" w:cs="Arial"/>
                <w:b/>
                <w:bCs/>
                <w:color w:val="C55A11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C55A11"/>
                <w:sz w:val="24"/>
                <w:szCs w:val="24"/>
              </w:rPr>
              <w:t xml:space="preserve">Indicazioni per la compilazione — </w:t>
            </w:r>
            <w:r>
              <w:rPr>
                <w:rFonts w:eastAsia="Arial" w:cs="Arial" w:ascii="Arial" w:hAnsi="Arial"/>
                <w:b/>
                <w:bCs/>
                <w:color w:val="C55A11"/>
                <w:sz w:val="24"/>
                <w:szCs w:val="24"/>
              </w:rPr>
              <w:t xml:space="preserve">Allegato 15 “Griglia dei criteri di valutazione”, </w:t>
            </w:r>
            <w:r>
              <w:rPr>
                <w:rFonts w:eastAsia="Arial" w:cs="Arial" w:ascii="Arial" w:hAnsi="Arial"/>
                <w:b/>
                <w:bCs/>
                <w:color w:val="C55A11"/>
                <w:sz w:val="24"/>
                <w:szCs w:val="24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C55A11"/>
                <w:sz w:val="24"/>
                <w:szCs w:val="24"/>
              </w:rPr>
              <w:t>punt</w:t>
            </w:r>
            <w:r>
              <w:rPr>
                <w:rFonts w:eastAsia="Arial" w:cs="Arial" w:ascii="Arial" w:hAnsi="Arial"/>
                <w:b/>
                <w:bCs/>
                <w:color w:val="C55A11"/>
                <w:sz w:val="24"/>
                <w:szCs w:val="24"/>
              </w:rPr>
              <w:t>i 1.1 e 1.2</w:t>
            </w:r>
          </w:p>
        </w:tc>
      </w:tr>
      <w:tr>
        <w:trPr/>
        <w:tc>
          <w:tcPr>
            <w:tcW w:w="9200" w:type="dxa"/>
            <w:tcBorders/>
            <w:shd w:fill="FCE4D6" w:val="clear"/>
            <w:tcMar>
              <w:top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i/>
                <w:i/>
                <w:iCs/>
                <w:color w:val="843C0C"/>
                <w:sz w:val="24"/>
                <w:szCs w:val="24"/>
              </w:rPr>
            </w:pPr>
            <w:r>
              <w:rPr>
                <w:rFonts w:eastAsia="Arial" w:cs="Arial" w:ascii="Arial" w:hAnsi="Arial"/>
                <w:i/>
                <w:iCs/>
                <w:color w:val="843C0C"/>
                <w:sz w:val="24"/>
                <w:szCs w:val="24"/>
              </w:rPr>
              <w:t>Descrivere sinteticamente il contesto territoriale di riferimento (Comune, zona di qualità dell'aria di appartenenza: IT0118/IT0119/IT0120), le principali criticità ambientali locali legate alla qualità dell'aria (dati di superamento dei limiti di PM</w:t>
            </w:r>
            <w:r>
              <w:rPr>
                <w:rFonts w:eastAsia="Arial" w:cs="Arial" w:ascii="Arial" w:hAnsi="Arial"/>
                <w:i/>
                <w:iCs/>
                <w:color w:val="843C0C"/>
                <w:sz w:val="24"/>
                <w:szCs w:val="24"/>
                <w:vertAlign w:val="subscript"/>
              </w:rPr>
              <w:t>10</w:t>
            </w:r>
            <w:r>
              <w:rPr>
                <w:rFonts w:eastAsia="Arial" w:cs="Arial" w:ascii="Arial" w:hAnsi="Arial"/>
                <w:i/>
                <w:iCs/>
                <w:color w:val="843C0C"/>
                <w:sz w:val="24"/>
                <w:szCs w:val="24"/>
              </w:rPr>
              <w:t>/NO₂ se disponibili) e le motivazioni che hanno orientato la scelta progettuale.</w:t>
            </w:r>
          </w:p>
        </w:tc>
      </w:tr>
      <w:tr>
        <w:trPr>
          <w:trHeight w:val="320" w:hRule="atLeast"/>
        </w:trPr>
        <w:tc>
          <w:tcPr>
            <w:tcW w:w="9200" w:type="dxa"/>
            <w:tcBorders/>
            <w:shd w:fill="FCE4D6" w:val="clear"/>
            <w:tcMar>
              <w:top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i/>
                <w:i/>
                <w:iCs/>
                <w:color w:val="843C0C"/>
                <w:sz w:val="24"/>
                <w:szCs w:val="24"/>
              </w:rPr>
            </w:pPr>
            <w:r>
              <w:rPr>
                <w:rFonts w:eastAsia="Arial" w:cs="Arial" w:ascii="Arial" w:hAnsi="Arial"/>
                <w:i/>
                <w:iCs/>
                <w:color w:val="843C0C"/>
                <w:sz w:val="24"/>
                <w:szCs w:val="24"/>
              </w:rPr>
              <w:t>Indicare il raccordo del progetto con gli strumenti di programmazione comunale e regionale vigenti.</w:t>
            </w:r>
          </w:p>
        </w:tc>
      </w:tr>
      <w:tr>
        <w:trPr/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shd w:fill="DEEAF1" w:val="clear"/>
            <w:tcMar>
              <w:start w:w="120" w:type="dxa"/>
              <w:bottom w:w="60" w:type="dxa"/>
              <w:end w:w="1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1F4E79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>1.1 Contesto territoriale e criticità ambientali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start w:w="120" w:type="dxa"/>
              <w:end w:w="1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start w:w="120" w:type="dxa"/>
              <w:end w:w="1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start w:w="120" w:type="dxa"/>
              <w:end w:w="1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start w:w="120" w:type="dxa"/>
              <w:end w:w="1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</w:tbl>
    <w:p>
      <w:pPr>
        <w:pStyle w:val="Normal"/>
        <w:bidi w:val="0"/>
        <w:spacing w:lineRule="auto" w:line="240" w:before="60" w:after="80"/>
        <w:jc w:val="start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200" w:type="dxa"/>
        <w:jc w:val="start"/>
        <w:tblInd w:w="-5" w:type="dxa"/>
        <w:tblLayout w:type="fixed"/>
        <w:tblCellMar>
          <w:top w:w="60" w:type="dxa"/>
          <w:start w:w="120" w:type="dxa"/>
          <w:bottom w:w="60" w:type="dxa"/>
          <w:end w:w="120" w:type="dxa"/>
        </w:tblCellMar>
      </w:tblPr>
      <w:tblGrid>
        <w:gridCol w:w="9200"/>
      </w:tblGrid>
      <w:tr>
        <w:trPr/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shd w:fill="DEEAF1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1F4E79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>1.2 Coerenza con gli obiettivi del Bando e del PRQA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</w:tbl>
    <w:p>
      <w:pPr>
        <w:pStyle w:val="Normal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200" w:type="dxa"/>
        <w:jc w:val="start"/>
        <w:tblInd w:w="-5" w:type="dxa"/>
        <w:tblLayout w:type="fixed"/>
        <w:tblCellMar>
          <w:top w:w="60" w:type="dxa"/>
          <w:start w:w="120" w:type="dxa"/>
          <w:bottom w:w="60" w:type="dxa"/>
          <w:end w:w="120" w:type="dxa"/>
        </w:tblCellMar>
      </w:tblPr>
      <w:tblGrid>
        <w:gridCol w:w="9200"/>
      </w:tblGrid>
      <w:tr>
        <w:trPr/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shd w:fill="DEEAF1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1F4E79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>1.</w:t>
            </w: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>3</w:t>
            </w: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 xml:space="preserve">Descrizione dell’analisi territoriale effettuata, </w:t>
            </w: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>anche attraverso cartografia tematica</w:t>
            </w: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 xml:space="preserve">, in coerenza con gli strumenti di pianificazione vigente 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</w:tbl>
    <w:p>
      <w:pPr>
        <w:pStyle w:val="Normal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1"/>
        <w:pBdr>
          <w:bottom w:val="single" w:sz="8" w:space="2" w:color="1F4E79"/>
        </w:pBdr>
        <w:spacing w:lineRule="auto" w:line="240" w:before="400" w:after="160"/>
        <w:rPr>
          <w:rFonts w:ascii="Arial" w:hAnsi="Arial" w:eastAsia="Arial" w:cs="Arial"/>
          <w:b/>
          <w:bCs/>
          <w:color w:val="1F4E79"/>
          <w:sz w:val="24"/>
          <w:szCs w:val="24"/>
        </w:rPr>
      </w:pPr>
      <w:r>
        <w:rPr>
          <w:rFonts w:eastAsia="Arial" w:cs="Arial"/>
          <w:b/>
          <w:bCs/>
          <w:color w:val="1F4E79"/>
          <w:sz w:val="24"/>
          <w:szCs w:val="24"/>
        </w:rPr>
        <w:t>2. Caratteristiche dell'intervento</w:t>
      </w:r>
    </w:p>
    <w:p>
      <w:pPr>
        <w:pStyle w:val="Heading2"/>
        <w:spacing w:lineRule="auto" w:line="240" w:before="280" w:after="120"/>
        <w:rPr>
          <w:rFonts w:ascii="Arial" w:hAnsi="Arial" w:eastAsia="Arial" w:cs="Arial"/>
          <w:b/>
          <w:bCs/>
          <w:color w:val="2E75B6"/>
          <w:sz w:val="24"/>
          <w:szCs w:val="24"/>
        </w:rPr>
      </w:pPr>
      <w:r>
        <w:rPr>
          <w:rFonts w:eastAsia="Arial" w:cs="Arial"/>
          <w:b/>
          <w:bCs/>
          <w:color w:val="2E75B6"/>
          <w:sz w:val="24"/>
          <w:szCs w:val="24"/>
        </w:rPr>
        <w:t>2.1 Localizzazione e descrizione del sito</w:t>
      </w:r>
    </w:p>
    <w:tbl>
      <w:tblPr>
        <w:tblW w:w="9210" w:type="dxa"/>
        <w:jc w:val="start"/>
        <w:tblInd w:w="-5" w:type="dxa"/>
        <w:tblLayout w:type="fixed"/>
        <w:tblCellMar>
          <w:top w:w="60" w:type="dxa"/>
          <w:start w:w="120" w:type="dxa"/>
          <w:bottom w:w="60" w:type="dxa"/>
          <w:end w:w="120" w:type="dxa"/>
        </w:tblCellMar>
      </w:tblPr>
      <w:tblGrid>
        <w:gridCol w:w="3495"/>
        <w:gridCol w:w="5715"/>
      </w:tblGrid>
      <w:tr>
        <w:trPr>
          <w:trHeight w:val="320" w:hRule="atLeast"/>
        </w:trPr>
        <w:tc>
          <w:tcPr>
            <w:tcW w:w="9210" w:type="dxa"/>
            <w:gridSpan w:val="2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shd w:fill="FCE4D6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b/>
                <w:bCs/>
                <w:color w:val="C55A11"/>
                <w:sz w:val="24"/>
                <w:szCs w:val="24"/>
              </w:rPr>
            </w:pPr>
            <w:r>
              <w:rPr>
                <w:b/>
                <w:bCs/>
                <w:color w:val="C55A11"/>
                <w:sz w:val="24"/>
                <w:szCs w:val="24"/>
              </w:rPr>
              <w:t xml:space="preserve">Indicazioni per la compilazione — 2.1 </w:t>
            </w:r>
          </w:p>
          <w:p>
            <w:pPr>
              <w:pStyle w:val="Normal"/>
              <w:bidi w:val="0"/>
              <w:spacing w:lineRule="auto" w:line="240" w:before="60" w:after="80"/>
              <w:jc w:val="start"/>
              <w:rPr>
                <w:i/>
                <w:i/>
                <w:iCs/>
                <w:color w:val="843C0C"/>
                <w:sz w:val="24"/>
                <w:szCs w:val="24"/>
              </w:rPr>
            </w:pPr>
            <w:r>
              <w:rPr>
                <w:i/>
                <w:iCs/>
                <w:color w:val="843C0C"/>
                <w:sz w:val="24"/>
                <w:szCs w:val="24"/>
              </w:rPr>
              <w:t>Indicare l'indirizzo o la denominazione delle aree oggetto di intervento, allegando planimetria di inquadramento. Descrivere lo stato di fatto del sito (condizioni della viabilità esistente, presenza di percorsi ciclabili/pedonali, stato del verde urbano, criticità per la qualità dell'aria). Allegare documentazione fotografica dello stato di fatto.</w:t>
            </w:r>
          </w:p>
        </w:tc>
      </w:tr>
      <w:tr>
        <w:trPr/>
        <w:tc>
          <w:tcPr>
            <w:tcW w:w="3495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shd w:fill="DEEAF1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1F4E79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>Via / Piazza / Area di intervento</w:t>
            </w:r>
          </w:p>
        </w:tc>
        <w:tc>
          <w:tcPr>
            <w:tcW w:w="5715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shd w:fill="DEEAF1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1F4E79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>Superficie totale interessata (mq)</w:t>
            </w:r>
          </w:p>
        </w:tc>
      </w:tr>
      <w:tr>
        <w:trPr>
          <w:trHeight w:val="360" w:hRule="atLeast"/>
        </w:trPr>
        <w:tc>
          <w:tcPr>
            <w:tcW w:w="3495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  <w:tc>
          <w:tcPr>
            <w:tcW w:w="5715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  <w:tr>
        <w:trPr>
          <w:trHeight w:val="360" w:hRule="atLeast"/>
        </w:trPr>
        <w:tc>
          <w:tcPr>
            <w:tcW w:w="3495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  <w:tc>
          <w:tcPr>
            <w:tcW w:w="5715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</w:tbl>
    <w:p>
      <w:pPr>
        <w:pStyle w:val="Normal"/>
        <w:bidi w:val="0"/>
        <w:spacing w:lineRule="auto" w:line="240" w:before="60" w:after="80"/>
        <w:jc w:val="start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200" w:type="dxa"/>
        <w:jc w:val="start"/>
        <w:tblInd w:w="-5" w:type="dxa"/>
        <w:tblLayout w:type="fixed"/>
        <w:tblCellMar>
          <w:top w:w="60" w:type="dxa"/>
          <w:start w:w="120" w:type="dxa"/>
          <w:bottom w:w="60" w:type="dxa"/>
          <w:end w:w="120" w:type="dxa"/>
        </w:tblCellMar>
      </w:tblPr>
      <w:tblGrid>
        <w:gridCol w:w="9200"/>
      </w:tblGrid>
      <w:tr>
        <w:trPr/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shd w:fill="DEEAF1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1F4E79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>Descrizione dello stato di fatto del sito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</w:tbl>
    <w:p>
      <w:pPr>
        <w:pStyle w:val="Heading2"/>
        <w:spacing w:lineRule="auto" w:line="240" w:before="280" w:after="120"/>
        <w:rPr>
          <w:rFonts w:ascii="Arial" w:hAnsi="Arial" w:eastAsia="Arial" w:cs="Arial"/>
          <w:b/>
          <w:bCs/>
          <w:color w:val="2E75B6"/>
          <w:sz w:val="24"/>
          <w:szCs w:val="24"/>
        </w:rPr>
      </w:pPr>
      <w:r>
        <w:rPr>
          <w:rFonts w:eastAsia="Arial" w:cs="Arial"/>
          <w:b/>
          <w:bCs/>
          <w:color w:val="2E75B6"/>
          <w:sz w:val="24"/>
          <w:szCs w:val="24"/>
        </w:rPr>
      </w:r>
    </w:p>
    <w:p>
      <w:pPr>
        <w:pStyle w:val="Heading2"/>
        <w:spacing w:lineRule="auto" w:line="240" w:before="280" w:after="120"/>
        <w:rPr>
          <w:rFonts w:ascii="Arial" w:hAnsi="Arial" w:eastAsia="Arial" w:cs="Arial"/>
          <w:b/>
          <w:bCs/>
          <w:color w:val="2E75B6"/>
          <w:sz w:val="24"/>
          <w:szCs w:val="24"/>
        </w:rPr>
      </w:pPr>
      <w:r>
        <w:rPr>
          <w:rFonts w:eastAsia="Arial" w:cs="Arial"/>
          <w:b/>
          <w:bCs/>
          <w:color w:val="2E75B6"/>
          <w:sz w:val="24"/>
          <w:szCs w:val="24"/>
        </w:rPr>
        <w:t>2.2 Descrizione della proposta progettuale e stima dell'impatto sulle emissioni</w:t>
      </w:r>
    </w:p>
    <w:tbl>
      <w:tblPr>
        <w:tblW w:w="9200" w:type="dxa"/>
        <w:jc w:val="start"/>
        <w:tblInd w:w="0" w:type="dxa"/>
        <w:tblLayout w:type="fixed"/>
        <w:tblCellMar>
          <w:top w:w="60" w:type="dxa"/>
          <w:start w:w="160" w:type="dxa"/>
          <w:bottom w:w="40" w:type="dxa"/>
          <w:end w:w="160" w:type="dxa"/>
        </w:tblCellMar>
      </w:tblPr>
      <w:tblGrid>
        <w:gridCol w:w="9200"/>
      </w:tblGrid>
      <w:tr>
        <w:trPr/>
        <w:tc>
          <w:tcPr>
            <w:tcW w:w="9200" w:type="dxa"/>
            <w:tcBorders/>
            <w:shd w:fill="FCE4D6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C55A11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C55A11"/>
                <w:sz w:val="24"/>
                <w:szCs w:val="24"/>
              </w:rPr>
              <w:t xml:space="preserve">Indicazioni per la compilazione — </w:t>
            </w:r>
            <w:r>
              <w:rPr>
                <w:rFonts w:eastAsia="Arial" w:cs="Arial" w:ascii="Arial" w:hAnsi="Arial"/>
                <w:b/>
                <w:bCs/>
                <w:color w:val="C55A11"/>
                <w:sz w:val="24"/>
                <w:szCs w:val="24"/>
              </w:rPr>
              <w:t xml:space="preserve">Allegato 15 “Griglia dei criteri di valutazione”, </w:t>
            </w:r>
            <w:r>
              <w:rPr>
                <w:rFonts w:eastAsia="Arial" w:cs="Arial" w:ascii="Arial" w:hAnsi="Arial"/>
                <w:b/>
                <w:bCs/>
                <w:color w:val="C55A11"/>
                <w:sz w:val="24"/>
                <w:szCs w:val="24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C55A11"/>
                <w:sz w:val="24"/>
                <w:szCs w:val="24"/>
              </w:rPr>
              <w:t>punt</w:t>
            </w:r>
            <w:r>
              <w:rPr>
                <w:rFonts w:eastAsia="Arial" w:cs="Arial" w:ascii="Arial" w:hAnsi="Arial"/>
                <w:b/>
                <w:bCs/>
                <w:color w:val="C55A11"/>
                <w:sz w:val="24"/>
                <w:szCs w:val="24"/>
              </w:rPr>
              <w:t>i 1.</w:t>
            </w:r>
            <w:r>
              <w:rPr>
                <w:rFonts w:eastAsia="Arial" w:cs="Arial" w:ascii="Arial" w:hAnsi="Arial"/>
                <w:b/>
                <w:bCs/>
                <w:color w:val="C55A11"/>
                <w:sz w:val="24"/>
                <w:szCs w:val="24"/>
              </w:rPr>
              <w:t>3,</w:t>
            </w:r>
            <w:r>
              <w:rPr>
                <w:rFonts w:eastAsia="Arial" w:cs="Arial" w:ascii="Arial" w:hAnsi="Arial"/>
                <w:b/>
                <w:bCs/>
                <w:color w:val="C55A11"/>
                <w:sz w:val="24"/>
                <w:szCs w:val="24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C55A11"/>
                <w:sz w:val="24"/>
                <w:szCs w:val="24"/>
              </w:rPr>
              <w:t>9.</w:t>
            </w:r>
            <w:r>
              <w:rPr>
                <w:rFonts w:eastAsia="Arial" w:cs="Arial" w:ascii="Arial" w:hAnsi="Arial"/>
                <w:b/>
                <w:bCs/>
                <w:color w:val="C55A11"/>
                <w:sz w:val="24"/>
                <w:szCs w:val="24"/>
              </w:rPr>
              <w:t>1, 9.2, 9.3</w:t>
            </w:r>
            <w:r>
              <w:rPr>
                <w:rFonts w:eastAsia="Arial" w:cs="Arial" w:ascii="Arial" w:hAnsi="Arial"/>
                <w:b/>
                <w:bCs/>
                <w:color w:val="C55A11"/>
                <w:sz w:val="24"/>
                <w:szCs w:val="24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C55A11"/>
                <w:sz w:val="24"/>
                <w:szCs w:val="24"/>
              </w:rPr>
              <w:t>— SEZIONE PRIORITARIA ai fini della valutazione</w:t>
            </w:r>
          </w:p>
        </w:tc>
      </w:tr>
      <w:tr>
        <w:trPr/>
        <w:tc>
          <w:tcPr>
            <w:tcW w:w="9200" w:type="dxa"/>
            <w:tcBorders/>
            <w:shd w:fill="FCE4D6" w:val="clear"/>
            <w:tcMar>
              <w:top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i/>
                <w:i/>
                <w:iCs/>
                <w:color w:val="843C0C"/>
                <w:sz w:val="24"/>
                <w:szCs w:val="24"/>
              </w:rPr>
            </w:pPr>
            <w:r>
              <w:rPr>
                <w:rFonts w:eastAsia="Arial" w:cs="Arial" w:ascii="Arial" w:hAnsi="Arial"/>
                <w:i/>
                <w:iCs/>
                <w:color w:val="843C0C"/>
                <w:sz w:val="24"/>
                <w:szCs w:val="24"/>
              </w:rPr>
              <w:t>Descrivere dettagliatamente le tipologie di intervento previste (par. 2.2 del Bando), specificando per ciascuna le caratteristiche tecniche principali.</w:t>
            </w:r>
          </w:p>
        </w:tc>
      </w:tr>
      <w:tr>
        <w:trPr/>
        <w:tc>
          <w:tcPr>
            <w:tcW w:w="9200" w:type="dxa"/>
            <w:tcBorders/>
            <w:shd w:fill="FCE4D6" w:val="clear"/>
            <w:tcMar>
              <w:top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i/>
                <w:i/>
                <w:iCs/>
                <w:color w:val="843C0C"/>
                <w:sz w:val="24"/>
                <w:szCs w:val="24"/>
              </w:rPr>
            </w:pPr>
            <w:r>
              <w:rPr>
                <w:rFonts w:eastAsia="Arial" w:cs="Arial" w:ascii="Arial" w:hAnsi="Arial"/>
                <w:i/>
                <w:iCs/>
                <w:color w:val="843C0C"/>
                <w:sz w:val="24"/>
                <w:szCs w:val="24"/>
              </w:rPr>
              <w:t xml:space="preserve">Illustrare il meccanismo causale attraverso cui il progetto determina una riduzione degli spostamenti veicolari privati (trasferimento modale, riduzione accessi, sottrazione capacità stradale ai veicoli, </w:t>
            </w:r>
            <w:r>
              <w:rPr>
                <w:rFonts w:eastAsia="Arial" w:cs="Arial" w:ascii="Arial" w:hAnsi="Arial"/>
                <w:i/>
                <w:iCs/>
                <w:color w:val="843C0C"/>
                <w:sz w:val="24"/>
                <w:szCs w:val="24"/>
              </w:rPr>
              <w:t>etc.</w:t>
            </w:r>
            <w:r>
              <w:rPr>
                <w:rFonts w:eastAsia="Arial" w:cs="Arial" w:ascii="Arial" w:hAnsi="Arial"/>
                <w:i/>
                <w:iCs/>
                <w:color w:val="843C0C"/>
                <w:sz w:val="24"/>
                <w:szCs w:val="24"/>
              </w:rPr>
              <w:t>). Sono considerati a basso impatto gli interventi che non modificano l'assetto della mobilità veicolare esistente.</w:t>
            </w:r>
          </w:p>
        </w:tc>
      </w:tr>
      <w:tr>
        <w:trPr/>
        <w:tc>
          <w:tcPr>
            <w:tcW w:w="9200" w:type="dxa"/>
            <w:tcBorders/>
            <w:shd w:fill="FCE4D6" w:val="clear"/>
            <w:tcMar>
              <w:top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i/>
                <w:i/>
                <w:iCs/>
                <w:color w:val="843C0C"/>
                <w:sz w:val="24"/>
                <w:szCs w:val="24"/>
              </w:rPr>
            </w:pPr>
            <w:r>
              <w:rPr>
                <w:rFonts w:eastAsia="Arial" w:cs="Arial" w:ascii="Arial" w:hAnsi="Arial"/>
                <w:i/>
                <w:iCs/>
                <w:color w:val="843C0C"/>
                <w:sz w:val="24"/>
                <w:szCs w:val="24"/>
              </w:rPr>
              <w:t xml:space="preserve">Compilare obbligatoriamente la tabella </w:t>
            </w:r>
            <w:r>
              <w:rPr>
                <w:rFonts w:eastAsia="Arial" w:cs="Arial" w:ascii="Arial" w:hAnsi="Arial"/>
                <w:i/>
                <w:iCs/>
                <w:color w:val="843C0C"/>
                <w:sz w:val="24"/>
                <w:szCs w:val="24"/>
              </w:rPr>
              <w:t xml:space="preserve">degli indicatori e </w:t>
            </w:r>
            <w:r>
              <w:rPr>
                <w:rFonts w:eastAsia="Arial" w:cs="Arial" w:ascii="Arial" w:hAnsi="Arial"/>
                <w:i/>
                <w:iCs/>
                <w:color w:val="843C0C"/>
                <w:sz w:val="24"/>
                <w:szCs w:val="24"/>
              </w:rPr>
              <w:t>delle emissioni evitate (Tabella 2.2a), indicando la metodologia adottata.</w:t>
            </w:r>
          </w:p>
        </w:tc>
      </w:tr>
      <w:tr>
        <w:trPr/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shd w:fill="DEEAF1" w:val="clear"/>
            <w:tcMar>
              <w:start w:w="120" w:type="dxa"/>
              <w:bottom w:w="60" w:type="dxa"/>
              <w:end w:w="1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1F4E79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>2.2.</w:t>
            </w: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>1</w:t>
            </w: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 xml:space="preserve"> — Descrizione </w:t>
            </w: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 xml:space="preserve">dettagliata </w:t>
            </w: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>de</w:t>
            </w: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>lle singole tipologie di</w:t>
            </w: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 xml:space="preserve"> interventi e </w:t>
            </w: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>loro caratteristiche tecniche principali</w:t>
            </w: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start w:w="120" w:type="dxa"/>
              <w:end w:w="1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start w:w="120" w:type="dxa"/>
              <w:end w:w="1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</w:tbl>
    <w:p>
      <w:pPr>
        <w:pStyle w:val="Normal"/>
        <w:bidi w:val="0"/>
        <w:spacing w:lineRule="auto" w:line="240" w:before="60" w:after="8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uto" w:line="240" w:before="100" w:after="60"/>
        <w:jc w:val="start"/>
        <w:rPr>
          <w:b/>
          <w:bCs/>
          <w:color w:val="1F4E79"/>
          <w:sz w:val="24"/>
          <w:szCs w:val="24"/>
        </w:rPr>
      </w:pPr>
      <w:r>
        <w:rPr>
          <w:b/>
          <w:bCs/>
          <w:color w:val="1F4E79"/>
          <w:sz w:val="24"/>
          <w:szCs w:val="24"/>
        </w:rPr>
        <w:t xml:space="preserve"> </w:t>
      </w:r>
    </w:p>
    <w:p>
      <w:pPr>
        <w:pStyle w:val="Normal"/>
        <w:bidi w:val="0"/>
        <w:spacing w:lineRule="auto" w:line="240" w:before="100" w:after="60"/>
        <w:jc w:val="start"/>
        <w:rPr>
          <w:b/>
          <w:bCs/>
          <w:color w:val="1F4E79"/>
          <w:sz w:val="24"/>
          <w:szCs w:val="24"/>
        </w:rPr>
      </w:pPr>
      <w:r>
        <w:rPr>
          <w:b/>
          <w:bCs/>
          <w:color w:val="1F4E79"/>
          <w:sz w:val="24"/>
          <w:szCs w:val="24"/>
        </w:rPr>
      </w:r>
    </w:p>
    <w:p>
      <w:pPr>
        <w:pStyle w:val="Normal"/>
        <w:bidi w:val="0"/>
        <w:spacing w:lineRule="auto" w:line="240" w:before="100" w:after="60"/>
        <w:jc w:val="start"/>
        <w:rPr>
          <w:b/>
          <w:bCs/>
          <w:color w:val="1F4E79"/>
          <w:sz w:val="24"/>
          <w:szCs w:val="24"/>
        </w:rPr>
      </w:pPr>
      <w:r>
        <w:rPr>
          <w:b/>
          <w:bCs/>
          <w:color w:val="1F4E79"/>
          <w:sz w:val="24"/>
          <w:szCs w:val="24"/>
        </w:rPr>
        <w:t xml:space="preserve">  </w:t>
      </w:r>
    </w:p>
    <w:tbl>
      <w:tblPr>
        <w:tblW w:w="9200" w:type="dxa"/>
        <w:jc w:val="start"/>
        <w:tblInd w:w="-5" w:type="dxa"/>
        <w:tblLayout w:type="fixed"/>
        <w:tblCellMar>
          <w:top w:w="60" w:type="dxa"/>
          <w:start w:w="120" w:type="dxa"/>
          <w:bottom w:w="60" w:type="dxa"/>
          <w:end w:w="120" w:type="dxa"/>
        </w:tblCellMar>
      </w:tblPr>
      <w:tblGrid>
        <w:gridCol w:w="9200"/>
      </w:tblGrid>
      <w:tr>
        <w:trPr/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shd w:fill="DEEAF1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1F4E79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>2.2.</w:t>
            </w: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>2</w:t>
            </w: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 xml:space="preserve"> — Descrizione de</w:t>
            </w: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 xml:space="preserve">l </w:t>
            </w: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 xml:space="preserve">meccanismo di riduzione </w:t>
            </w: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>de</w:t>
            </w: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>lle percorrenze del traffico privato, evidenziando il trasferimento agli spostamenti modali. V</w:t>
            </w: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 xml:space="preserve">alutazione dell’efficacia  </w:t>
            </w: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>dei singoli</w:t>
            </w: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 xml:space="preserve"> interventi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</w:tbl>
    <w:p>
      <w:pPr>
        <w:pStyle w:val="Normal"/>
        <w:bidi w:val="0"/>
        <w:spacing w:lineRule="auto" w:line="240" w:before="100" w:after="60"/>
        <w:jc w:val="start"/>
        <w:rPr>
          <w:b/>
          <w:bCs/>
          <w:color w:val="1F4E79"/>
          <w:sz w:val="24"/>
          <w:szCs w:val="24"/>
        </w:rPr>
      </w:pPr>
      <w:r>
        <w:rPr>
          <w:b/>
          <w:bCs/>
          <w:color w:val="1F4E79"/>
          <w:sz w:val="24"/>
          <w:szCs w:val="24"/>
        </w:rPr>
        <w:t xml:space="preserve">              </w:t>
      </w:r>
    </w:p>
    <w:p>
      <w:pPr>
        <w:pStyle w:val="Normal"/>
        <w:bidi w:val="0"/>
        <w:spacing w:lineRule="auto" w:line="240" w:before="100" w:after="60"/>
        <w:jc w:val="start"/>
        <w:rPr>
          <w:sz w:val="24"/>
          <w:szCs w:val="24"/>
        </w:rPr>
      </w:pPr>
      <w:r>
        <w:rPr>
          <w:rFonts w:eastAsia="Arial" w:cs="Arial" w:ascii="Arial" w:hAnsi="Arial"/>
          <w:b/>
          <w:bCs/>
          <w:color w:val="1F4E79"/>
          <w:sz w:val="24"/>
          <w:szCs w:val="24"/>
        </w:rPr>
        <w:t>2.2.</w:t>
      </w:r>
      <w:r>
        <w:rPr>
          <w:rFonts w:eastAsia="Arial" w:cs="Arial" w:ascii="Arial" w:hAnsi="Arial"/>
          <w:b/>
          <w:bCs/>
          <w:color w:val="1F4E79"/>
          <w:sz w:val="24"/>
          <w:szCs w:val="24"/>
        </w:rPr>
        <w:t xml:space="preserve">2 </w:t>
      </w:r>
      <w:r>
        <w:rPr>
          <w:rFonts w:eastAsia="Arial" w:cs="Arial" w:ascii="Arial" w:hAnsi="Arial"/>
          <w:b/>
          <w:bCs/>
          <w:color w:val="1F4E79"/>
          <w:sz w:val="24"/>
          <w:szCs w:val="24"/>
        </w:rPr>
        <w:t xml:space="preserve">a — </w:t>
      </w:r>
      <w:r>
        <w:rPr>
          <w:rFonts w:eastAsia="Arial" w:cs="Arial" w:ascii="Arial" w:hAnsi="Arial"/>
          <w:b/>
          <w:bCs/>
          <w:color w:val="1F4E79"/>
          <w:sz w:val="24"/>
          <w:szCs w:val="24"/>
          <w:shd w:fill="auto" w:val="clear"/>
        </w:rPr>
        <w:t xml:space="preserve">Valorizzazione degli indicatori </w:t>
      </w:r>
      <w:r>
        <w:rPr>
          <w:rFonts w:eastAsia="Arial" w:cs="Arial" w:ascii="Arial" w:hAnsi="Arial"/>
          <w:b/>
          <w:bCs/>
          <w:color w:val="1F4E79"/>
          <w:sz w:val="24"/>
          <w:szCs w:val="24"/>
          <w:shd w:fill="auto" w:val="clear"/>
        </w:rPr>
        <w:t>e dei benefici ambientali</w:t>
      </w:r>
    </w:p>
    <w:p>
      <w:pPr>
        <w:pStyle w:val="Normal"/>
        <w:bidi w:val="0"/>
        <w:spacing w:lineRule="auto" w:line="240" w:before="40" w:after="60"/>
        <w:ind w:hanging="0" w:start="0" w:end="0"/>
        <w:jc w:val="both"/>
        <w:rPr>
          <w:rFonts w:ascii="Arial" w:hAnsi="Arial" w:eastAsia="Arial" w:cs="Arial"/>
          <w:i w:val="false"/>
          <w:i w:val="false"/>
          <w:iCs w:val="false"/>
          <w:color w:val="auto"/>
          <w:sz w:val="24"/>
          <w:szCs w:val="24"/>
        </w:rPr>
      </w:pP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La stima dei benefici ambientali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deve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basa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rsi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 sulla riduzione delle percorrenze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a carico del traffico privato nel comune oggetto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degli interventi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.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Le valutazioni possono essere basate su stime o dati rilevati, ad esempio utilizzando sistemi evoluti di rilevamento dei veicoli.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Il proponente può utilizzare qualsiasi metodologia di stima/calcolo dei benefici ambientali del proprio interventi, purchè venga debitamente descritta e supportata da documentazione scientifica.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 </w:t>
      </w:r>
    </w:p>
    <w:p>
      <w:pPr>
        <w:pStyle w:val="Normal"/>
        <w:bidi w:val="0"/>
        <w:spacing w:lineRule="auto" w:line="240" w:before="40" w:after="60"/>
        <w:ind w:hanging="0" w:start="0" w:end="0"/>
        <w:jc w:val="both"/>
        <w:rPr>
          <w:rFonts w:ascii="Arial" w:hAnsi="Arial" w:eastAsia="Arial" w:cs="Arial"/>
          <w:i w:val="false"/>
          <w:i w:val="false"/>
          <w:iCs w:val="false"/>
          <w:color w:val="auto"/>
          <w:sz w:val="24"/>
          <w:szCs w:val="24"/>
        </w:rPr>
      </w:pP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La modalità proposta di seguito può essere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 applicata per la stima dei benefici ambientali che si conseguono quando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il cittadino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 rinuncia all’uso del mezzo privato a favore di spostamenti in bicicletta o a piedi o con un mezzo del trasporto pubblico locale (TPL). </w:t>
      </w:r>
    </w:p>
    <w:p>
      <w:pPr>
        <w:pStyle w:val="Normal"/>
        <w:bidi w:val="0"/>
        <w:spacing w:lineRule="auto" w:line="240" w:before="40" w:after="60"/>
        <w:ind w:hanging="0" w:start="0" w:end="0"/>
        <w:jc w:val="both"/>
        <w:rPr>
          <w:rFonts w:ascii="Arial" w:hAnsi="Arial" w:eastAsia="Arial" w:cs="Arial"/>
          <w:i w:val="false"/>
          <w:i w:val="false"/>
          <w:iCs w:val="false"/>
          <w:color w:val="auto"/>
          <w:sz w:val="24"/>
          <w:szCs w:val="24"/>
        </w:rPr>
      </w:pP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La riduzione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annuale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 delle percorrenze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o degli spostamenti evitati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dei mezzi privati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 (∆km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  <w:vertAlign w:val="subscript"/>
        </w:rPr>
        <w:t>auto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) è valutabile mediante la seguente formula: </w:t>
      </w:r>
    </w:p>
    <w:p>
      <w:pPr>
        <w:pStyle w:val="Normal"/>
        <w:bidi w:val="0"/>
        <w:spacing w:lineRule="auto" w:line="240" w:before="40" w:after="60"/>
        <w:ind w:hanging="0" w:start="0" w:end="0"/>
        <w:jc w:val="center"/>
        <w:rPr>
          <w:rFonts w:ascii="Arial" w:hAnsi="Arial" w:eastAsia="Arial" w:cs="Arial"/>
          <w:b/>
          <w:bCs/>
          <w:i/>
          <w:i/>
          <w:iCs/>
          <w:color w:val="666666"/>
          <w:sz w:val="24"/>
          <w:szCs w:val="24"/>
        </w:rPr>
      </w:pPr>
      <w:r>
        <w:rPr>
          <w:rFonts w:eastAsia="Arial" w:cs="Arial" w:ascii="Arial" w:hAnsi="Arial"/>
          <w:b/>
          <w:bCs/>
          <w:i/>
          <w:iCs/>
          <w:color w:val="666666"/>
          <w:sz w:val="24"/>
          <w:szCs w:val="24"/>
        </w:rPr>
        <w:t>∆</w:t>
      </w:r>
      <w:r>
        <w:rPr>
          <w:rFonts w:eastAsia="Arial" w:cs="Arial" w:ascii="Arial" w:hAnsi="Arial"/>
          <w:b/>
          <w:bCs/>
          <w:i/>
          <w:iCs/>
          <w:color w:val="666666"/>
          <w:sz w:val="24"/>
          <w:szCs w:val="24"/>
        </w:rPr>
        <w:t>km</w:t>
      </w:r>
      <w:r>
        <w:rPr>
          <w:rFonts w:eastAsia="Arial" w:cs="Arial" w:ascii="Arial" w:hAnsi="Arial"/>
          <w:b/>
          <w:bCs/>
          <w:i/>
          <w:iCs/>
          <w:color w:val="666666"/>
          <w:sz w:val="24"/>
          <w:szCs w:val="24"/>
          <w:vertAlign w:val="subscript"/>
        </w:rPr>
        <w:t>auto</w:t>
      </w:r>
      <w:r>
        <w:rPr>
          <w:rFonts w:eastAsia="Arial" w:cs="Arial" w:ascii="Arial" w:hAnsi="Arial"/>
          <w:b/>
          <w:bCs/>
          <w:i/>
          <w:iCs/>
          <w:color w:val="666666"/>
          <w:sz w:val="24"/>
          <w:szCs w:val="24"/>
        </w:rPr>
        <w:t xml:space="preserve"> = </w:t>
      </w:r>
      <w:r>
        <w:rPr>
          <w:rFonts w:eastAsia="Arial" w:cs="Arial" w:ascii="Arial" w:hAnsi="Arial"/>
          <w:b/>
          <w:bCs/>
          <w:i/>
          <w:iCs/>
          <w:color w:val="666666"/>
          <w:sz w:val="24"/>
          <w:szCs w:val="24"/>
        </w:rPr>
        <w:t>[</w:t>
      </w:r>
      <w:r>
        <w:rPr>
          <w:rFonts w:eastAsia="Arial" w:cs="Arial" w:ascii="Arial" w:hAnsi="Arial"/>
          <w:b/>
          <w:bCs/>
          <w:i/>
          <w:iCs/>
          <w:color w:val="666666"/>
          <w:sz w:val="24"/>
          <w:szCs w:val="24"/>
        </w:rPr>
        <w:t>(Ut / δ) * L</w:t>
      </w:r>
      <w:r>
        <w:rPr>
          <w:rFonts w:eastAsia="Arial" w:cs="Arial" w:ascii="Arial" w:hAnsi="Arial"/>
          <w:b/>
          <w:bCs/>
          <w:i/>
          <w:iCs/>
          <w:color w:val="666666"/>
          <w:sz w:val="24"/>
          <w:szCs w:val="24"/>
        </w:rPr>
        <w:t>]* Op</w:t>
      </w:r>
    </w:p>
    <w:p>
      <w:pPr>
        <w:pStyle w:val="Normal"/>
        <w:bidi w:val="0"/>
        <w:spacing w:lineRule="auto" w:line="240" w:before="40" w:after="60"/>
        <w:ind w:hanging="0" w:start="0" w:end="0"/>
        <w:jc w:val="start"/>
        <w:rPr>
          <w:rFonts w:ascii="Arial" w:hAnsi="Arial" w:eastAsia="Arial" w:cs="Arial"/>
          <w:i w:val="false"/>
          <w:i w:val="false"/>
          <w:iCs w:val="false"/>
          <w:color w:val="auto"/>
          <w:sz w:val="24"/>
          <w:szCs w:val="24"/>
        </w:rPr>
      </w:pP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dove: </w:t>
      </w:r>
    </w:p>
    <w:p>
      <w:pPr>
        <w:pStyle w:val="Normal"/>
        <w:numPr>
          <w:ilvl w:val="0"/>
          <w:numId w:val="1"/>
        </w:numPr>
        <w:bidi w:val="0"/>
        <w:spacing w:lineRule="auto" w:line="240" w:before="40" w:after="60"/>
        <w:jc w:val="both"/>
        <w:rPr>
          <w:i w:val="false"/>
          <w:i w:val="false"/>
          <w:iCs w:val="false"/>
          <w:color w:val="auto"/>
          <w:sz w:val="24"/>
          <w:szCs w:val="24"/>
        </w:rPr>
      </w:pP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Ut è il numero di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cittadini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 sottratti all’uso dell’autovettura per effetto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dei trasferimenti modali (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perché quotidianamente si spostano a piedi, in bicicletta e con i mezzi del TPL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)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 per raggiungere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i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 luoghi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di interesse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(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la sede di lavoro,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servizi etc.)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d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el comune oggetto dell’intervento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; </w:t>
      </w:r>
    </w:p>
    <w:p>
      <w:pPr>
        <w:pStyle w:val="Normal"/>
        <w:numPr>
          <w:ilvl w:val="0"/>
          <w:numId w:val="1"/>
        </w:numPr>
        <w:bidi w:val="0"/>
        <w:spacing w:lineRule="auto" w:line="240" w:before="40" w:after="60"/>
        <w:jc w:val="both"/>
        <w:rPr>
          <w:rFonts w:ascii="Arial" w:hAnsi="Arial" w:eastAsia="Arial" w:cs="Arial"/>
          <w:i w:val="false"/>
          <w:i w:val="false"/>
          <w:iCs w:val="false"/>
          <w:color w:val="auto"/>
          <w:sz w:val="24"/>
          <w:szCs w:val="24"/>
        </w:rPr>
      </w:pP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δ è il tasso medio di occupazione di un’autovettura (da porre uguale a 1,2);</w:t>
      </w:r>
    </w:p>
    <w:p>
      <w:pPr>
        <w:pStyle w:val="Normal"/>
        <w:numPr>
          <w:ilvl w:val="0"/>
          <w:numId w:val="1"/>
        </w:numPr>
        <w:bidi w:val="0"/>
        <w:spacing w:lineRule="auto" w:line="240" w:before="40" w:after="60"/>
        <w:jc w:val="both"/>
        <w:rPr>
          <w:rFonts w:ascii="Arial" w:hAnsi="Arial" w:eastAsia="Arial" w:cs="Arial"/>
          <w:i w:val="false"/>
          <w:i w:val="false"/>
          <w:iCs w:val="false"/>
          <w:color w:val="auto"/>
          <w:sz w:val="24"/>
          <w:szCs w:val="24"/>
        </w:rPr>
      </w:pP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L è la percorrenza media giornaliera (andata e ritorno), espressa in km, effettuata dal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cittadino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 per raggiungere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i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luoghi di interesse (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la sede di lavoro,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servizi etc.)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d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el comune oggetto dell’intervento,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utilizzando il mezzo privato;</w:t>
      </w:r>
    </w:p>
    <w:p>
      <w:pPr>
        <w:pStyle w:val="Normal"/>
        <w:numPr>
          <w:ilvl w:val="0"/>
          <w:numId w:val="1"/>
        </w:numPr>
        <w:bidi w:val="0"/>
        <w:spacing w:lineRule="auto" w:line="240" w:before="40" w:after="60"/>
        <w:jc w:val="both"/>
        <w:rPr>
          <w:rFonts w:ascii="Arial" w:hAnsi="Arial" w:eastAsia="Arial" w:cs="Arial"/>
          <w:i w:val="false"/>
          <w:i w:val="false"/>
          <w:iCs w:val="false"/>
          <w:color w:val="auto"/>
          <w:sz w:val="24"/>
          <w:szCs w:val="24"/>
        </w:rPr>
      </w:pP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Op è il numero di giorni in un anno in cui il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cittadino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 si sposta a piedi, in bici o con il TPL per raggiungere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i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luoghi di interesse (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la sede di lavoro,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servizi etc.) d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el comune oggetto dell’intervento.</w:t>
      </w:r>
    </w:p>
    <w:p>
      <w:pPr>
        <w:pStyle w:val="Normal"/>
        <w:bidi w:val="0"/>
        <w:spacing w:lineRule="auto" w:line="240" w:before="40" w:after="60"/>
        <w:jc w:val="both"/>
        <w:rPr>
          <w:rFonts w:ascii="Arial" w:hAnsi="Arial" w:eastAsia="Arial" w:cs="Arial"/>
          <w:i/>
          <w:i/>
          <w:iCs/>
          <w:color w:val="666666"/>
          <w:sz w:val="24"/>
          <w:szCs w:val="24"/>
        </w:rPr>
      </w:pP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L’indicatore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∆km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  <w:vertAlign w:val="subscript"/>
        </w:rPr>
        <w:t xml:space="preserve">auto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 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così ottenuto è espresso nella seguente unità di misura:</w:t>
      </w:r>
      <w:r>
        <w:rPr>
          <w:rFonts w:eastAsia="Arial" w:cs="Arial" w:ascii="Arial" w:hAnsi="Arial"/>
          <w:b/>
          <w:bCs/>
          <w:i w:val="false"/>
          <w:iCs w:val="false"/>
          <w:color w:val="auto"/>
          <w:sz w:val="24"/>
          <w:szCs w:val="24"/>
        </w:rPr>
        <w:t xml:space="preserve"> </w:t>
      </w:r>
      <w:r>
        <w:rPr>
          <w:rFonts w:eastAsia="Arial" w:cs="Arial" w:ascii="Arial" w:hAnsi="Arial"/>
          <w:b/>
          <w:bCs/>
          <w:i w:val="false"/>
          <w:iCs w:val="false"/>
          <w:color w:val="auto"/>
          <w:sz w:val="24"/>
          <w:szCs w:val="24"/>
        </w:rPr>
        <w:t>veh·km/anno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e può rappresentare una riduzione delle percorrenze o spostamenti evitati dei mezzi privati. </w:t>
      </w:r>
      <w:r>
        <w:rPr>
          <w:rFonts w:eastAsia="Arial" w:cs="Arial" w:ascii="Arial" w:hAnsi="Arial"/>
          <w:b/>
          <w:bCs/>
          <w:i w:val="false"/>
          <w:iCs w:val="false"/>
          <w:color w:val="auto"/>
          <w:sz w:val="24"/>
          <w:szCs w:val="24"/>
        </w:rPr>
        <w:t xml:space="preserve">Ogni tipologia di intervento previsto da progetto deve essere valutato </w:t>
      </w:r>
      <w:r>
        <w:rPr>
          <w:rFonts w:eastAsia="Arial" w:cs="Arial" w:ascii="Arial" w:hAnsi="Arial"/>
          <w:b/>
          <w:bCs/>
          <w:i w:val="false"/>
          <w:iCs w:val="false"/>
          <w:color w:val="auto"/>
          <w:sz w:val="24"/>
          <w:szCs w:val="24"/>
        </w:rPr>
        <w:t>singolarmente</w:t>
      </w:r>
      <w:r>
        <w:rPr>
          <w:rFonts w:eastAsia="Arial" w:cs="Arial" w:ascii="Arial" w:hAnsi="Arial"/>
          <w:b/>
          <w:bCs/>
          <w:i w:val="false"/>
          <w:iCs w:val="false"/>
          <w:color w:val="auto"/>
          <w:sz w:val="24"/>
          <w:szCs w:val="24"/>
        </w:rPr>
        <w:t xml:space="preserve"> </w:t>
      </w:r>
      <w:r>
        <w:rPr>
          <w:rFonts w:eastAsia="Arial" w:cs="Arial" w:ascii="Arial" w:hAnsi="Arial"/>
          <w:b/>
          <w:bCs/>
          <w:i w:val="false"/>
          <w:iCs w:val="false"/>
          <w:color w:val="auto"/>
          <w:sz w:val="24"/>
          <w:szCs w:val="24"/>
        </w:rPr>
        <w:t>(es. Pista ciclabile, strada scolastica etc.)</w:t>
      </w:r>
      <w:r>
        <w:rPr>
          <w:rFonts w:eastAsia="Arial" w:cs="Arial" w:ascii="Arial" w:hAnsi="Arial"/>
          <w:b/>
          <w:bCs/>
          <w:i w:val="false"/>
          <w:iCs w:val="false"/>
          <w:color w:val="auto"/>
          <w:sz w:val="24"/>
          <w:szCs w:val="24"/>
        </w:rPr>
        <w:t xml:space="preserve">. La sommatoria dei singoli indicatori </w:t>
      </w:r>
      <w:r>
        <w:rPr>
          <w:rFonts w:eastAsia="Arial" w:cs="Arial" w:ascii="Arial" w:hAnsi="Arial"/>
          <w:b/>
          <w:bCs/>
          <w:i w:val="false"/>
          <w:iCs w:val="false"/>
          <w:color w:val="auto"/>
          <w:sz w:val="24"/>
          <w:szCs w:val="24"/>
        </w:rPr>
        <w:t>per singolo intervento</w:t>
      </w:r>
      <w:r>
        <w:rPr>
          <w:rFonts w:eastAsia="Arial" w:cs="Arial" w:ascii="Arial" w:hAnsi="Arial"/>
          <w:b/>
          <w:bCs/>
          <w:i w:val="false"/>
          <w:iCs w:val="false"/>
          <w:color w:val="auto"/>
          <w:sz w:val="24"/>
          <w:szCs w:val="24"/>
        </w:rPr>
        <w:t xml:space="preserve"> rappresenta la riduzione totale conseguita dal progetto.</w:t>
      </w:r>
    </w:p>
    <w:p>
      <w:pPr>
        <w:pStyle w:val="Normal"/>
        <w:bidi w:val="0"/>
        <w:spacing w:lineRule="auto" w:line="240" w:before="40" w:after="60"/>
        <w:ind w:hanging="0" w:start="0" w:end="0"/>
        <w:jc w:val="both"/>
        <w:rPr>
          <w:rFonts w:ascii="Arial" w:hAnsi="Arial" w:eastAsia="Arial" w:cs="Arial"/>
          <w:i w:val="false"/>
          <w:i w:val="false"/>
          <w:iCs w:val="false"/>
          <w:color w:val="auto"/>
          <w:sz w:val="24"/>
          <w:szCs w:val="24"/>
        </w:rPr>
      </w:pP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Per la stima dei benefici ambientali connessi alla riduzione delle emissioni inquinanti (∆Emi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  <w:vertAlign w:val="subscript"/>
        </w:rPr>
        <w:t>inq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 espressa in kg/anno) dovuta alla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riduzione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 delle percorrenze chilometriche effettuate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o spostamenti evitati con i mezzi privati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 (∆km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  <w:vertAlign w:val="subscript"/>
        </w:rPr>
        <w:t>auto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), a seguito d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ella realizzazione degli interventi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, si propone la seguente formula: </w:t>
      </w:r>
    </w:p>
    <w:p>
      <w:pPr>
        <w:pStyle w:val="Normal"/>
        <w:bidi w:val="0"/>
        <w:spacing w:lineRule="auto" w:line="240" w:before="40" w:after="60"/>
        <w:ind w:hanging="0" w:start="0" w:end="0"/>
        <w:jc w:val="start"/>
        <w:rPr>
          <w:rFonts w:ascii="Arial" w:hAnsi="Arial" w:eastAsia="Arial" w:cs="Arial"/>
          <w:i/>
          <w:i/>
          <w:iCs/>
          <w:color w:val="666666"/>
          <w:sz w:val="24"/>
          <w:szCs w:val="24"/>
        </w:rPr>
      </w:pPr>
      <w:r>
        <w:rPr>
          <w:rFonts w:eastAsia="Arial" w:cs="Arial" w:ascii="Arial" w:hAnsi="Arial"/>
          <w:i/>
          <w:iCs/>
          <w:color w:val="666666"/>
          <w:sz w:val="24"/>
          <w:szCs w:val="24"/>
        </w:rPr>
      </w:r>
    </w:p>
    <w:p>
      <w:pPr>
        <w:pStyle w:val="Normal"/>
        <w:bidi w:val="0"/>
        <w:spacing w:lineRule="auto" w:line="240" w:before="40" w:after="60"/>
        <w:ind w:hanging="0" w:start="0" w:end="0"/>
        <w:jc w:val="center"/>
        <w:rPr>
          <w:rFonts w:ascii="Arial" w:hAnsi="Arial" w:eastAsia="Arial" w:cs="Arial"/>
          <w:b/>
          <w:bCs/>
          <w:i/>
          <w:i/>
          <w:iCs/>
          <w:color w:val="666666"/>
          <w:sz w:val="24"/>
          <w:szCs w:val="24"/>
        </w:rPr>
      </w:pPr>
      <w:r>
        <w:rPr>
          <w:rFonts w:eastAsia="Arial" w:cs="Arial" w:ascii="Arial" w:hAnsi="Arial"/>
          <w:b/>
          <w:bCs/>
          <w:i/>
          <w:iCs/>
          <w:color w:val="666666"/>
          <w:sz w:val="24"/>
          <w:szCs w:val="24"/>
        </w:rPr>
        <w:t>∆</w:t>
      </w:r>
      <w:r>
        <w:rPr>
          <w:rFonts w:eastAsia="Arial" w:cs="Arial" w:ascii="Arial" w:hAnsi="Arial"/>
          <w:b/>
          <w:bCs/>
          <w:i/>
          <w:iCs/>
          <w:color w:val="666666"/>
          <w:sz w:val="24"/>
          <w:szCs w:val="24"/>
        </w:rPr>
        <w:t>Emi</w:t>
      </w:r>
      <w:r>
        <w:rPr>
          <w:rFonts w:eastAsia="Arial" w:cs="Arial" w:ascii="Arial" w:hAnsi="Arial"/>
          <w:b/>
          <w:bCs/>
          <w:i/>
          <w:iCs/>
          <w:color w:val="666666"/>
          <w:sz w:val="24"/>
          <w:szCs w:val="24"/>
          <w:vertAlign w:val="subscript"/>
        </w:rPr>
        <w:t>inq</w:t>
      </w:r>
      <w:r>
        <w:rPr>
          <w:rFonts w:eastAsia="Arial" w:cs="Arial" w:ascii="Arial" w:hAnsi="Arial"/>
          <w:b/>
          <w:bCs/>
          <w:i/>
          <w:iCs/>
          <w:color w:val="666666"/>
          <w:sz w:val="24"/>
          <w:szCs w:val="24"/>
        </w:rPr>
        <w:t xml:space="preserve"> = (∆km</w:t>
      </w:r>
      <w:r>
        <w:rPr>
          <w:rFonts w:eastAsia="Arial" w:cs="Arial" w:ascii="Arial" w:hAnsi="Arial"/>
          <w:b/>
          <w:bCs/>
          <w:i/>
          <w:iCs/>
          <w:color w:val="666666"/>
          <w:sz w:val="24"/>
          <w:szCs w:val="24"/>
          <w:vertAlign w:val="subscript"/>
        </w:rPr>
        <w:t>auto</w:t>
      </w:r>
      <w:r>
        <w:rPr>
          <w:rFonts w:eastAsia="Arial" w:cs="Arial" w:ascii="Arial" w:hAnsi="Arial"/>
          <w:b/>
          <w:bCs/>
          <w:i/>
          <w:iCs/>
          <w:color w:val="666666"/>
          <w:sz w:val="24"/>
          <w:szCs w:val="24"/>
        </w:rPr>
        <w:t xml:space="preserve"> * Fe</w:t>
      </w:r>
      <w:r>
        <w:rPr>
          <w:rFonts w:eastAsia="Arial" w:cs="Arial" w:ascii="Arial" w:hAnsi="Arial"/>
          <w:b/>
          <w:bCs/>
          <w:i/>
          <w:iCs/>
          <w:color w:val="666666"/>
          <w:sz w:val="24"/>
          <w:szCs w:val="24"/>
          <w:vertAlign w:val="subscript"/>
        </w:rPr>
        <w:t>Inq</w:t>
      </w:r>
      <w:r>
        <w:rPr>
          <w:rFonts w:eastAsia="Arial" w:cs="Arial" w:ascii="Arial" w:hAnsi="Arial"/>
          <w:b/>
          <w:bCs/>
          <w:i/>
          <w:iCs/>
          <w:color w:val="666666"/>
          <w:sz w:val="24"/>
          <w:szCs w:val="24"/>
        </w:rPr>
        <w:t xml:space="preserve">) / </w:t>
      </w:r>
      <w:r>
        <w:rPr>
          <w:rFonts w:eastAsia="Arial" w:cs="Arial" w:ascii="Arial" w:hAnsi="Arial"/>
          <w:b/>
          <w:bCs/>
          <w:i/>
          <w:iCs/>
          <w:color w:val="666666"/>
          <w:sz w:val="24"/>
          <w:szCs w:val="24"/>
        </w:rPr>
        <w:t>X</w:t>
      </w:r>
      <w:r>
        <w:rPr>
          <w:rFonts w:eastAsia="Arial" w:cs="Arial" w:ascii="Arial" w:hAnsi="Arial"/>
          <w:b/>
          <w:bCs/>
          <w:i/>
          <w:iCs/>
          <w:color w:val="666666"/>
          <w:sz w:val="24"/>
          <w:szCs w:val="24"/>
        </w:rPr>
        <w:t xml:space="preserve"> </w:t>
      </w:r>
    </w:p>
    <w:p>
      <w:pPr>
        <w:pStyle w:val="Normal"/>
        <w:bidi w:val="0"/>
        <w:spacing w:lineRule="auto" w:line="240" w:before="40" w:after="60"/>
        <w:ind w:hanging="0" w:start="0" w:end="0"/>
        <w:jc w:val="both"/>
        <w:rPr>
          <w:rFonts w:ascii="Arial" w:hAnsi="Arial" w:eastAsia="Arial" w:cs="Arial"/>
          <w:i w:val="false"/>
          <w:i w:val="false"/>
          <w:iCs w:val="false"/>
          <w:color w:val="auto"/>
          <w:sz w:val="24"/>
          <w:szCs w:val="24"/>
        </w:rPr>
      </w:pP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in cui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il parametro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Fe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  <w:vertAlign w:val="subscript"/>
        </w:rPr>
        <w:t>Inq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 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rappresenta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 i fattori di emissione medi per ciascuno degli inquinanti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(NO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  <w:vertAlign w:val="subscript"/>
        </w:rPr>
        <w:t>x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 e PM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  <w:vertAlign w:val="subscript"/>
        </w:rPr>
        <w:t>10</w:t>
      </w:r>
      <w:r>
        <w:rPr>
          <w:rFonts w:eastAsia="Arial" w:cs="Arial" w:ascii="Arial" w:hAnsi="Arial"/>
          <w:i w:val="false"/>
          <w:iCs w:val="false"/>
          <w:color w:val="auto"/>
          <w:position w:val="0"/>
          <w:sz w:val="24"/>
          <w:sz w:val="24"/>
          <w:szCs w:val="24"/>
          <w:vertAlign w:val="baseline"/>
        </w:rPr>
        <w:t xml:space="preserve">)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e gas serra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 (CO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  <w:vertAlign w:val="subscript"/>
        </w:rPr>
        <w:t>2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,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  <w:vertAlign w:val="subscript"/>
        </w:rPr>
        <w:t xml:space="preserve"> 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auto"/>
          <w:position w:val="0"/>
          <w:sz w:val="24"/>
          <w:sz w:val="24"/>
          <w:szCs w:val="24"/>
          <w:vertAlign w:val="baseline"/>
        </w:rPr>
        <w:t>N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auto"/>
          <w:sz w:val="24"/>
          <w:szCs w:val="24"/>
          <w:vertAlign w:val="subscript"/>
        </w:rPr>
        <w:t>2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auto"/>
          <w:position w:val="0"/>
          <w:sz w:val="24"/>
          <w:sz w:val="24"/>
          <w:szCs w:val="24"/>
          <w:vertAlign w:val="baseline"/>
        </w:rPr>
        <w:t>O e CH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auto"/>
          <w:sz w:val="24"/>
          <w:szCs w:val="24"/>
          <w:vertAlign w:val="subscript"/>
        </w:rPr>
        <w:t>4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) considerati, espressi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generalmente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 in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mg/km o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g/km.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Il parametro X rappresenta il parametro di conversione specifico per passare da mg/anno a g/anno a kg/anno.</w:t>
      </w:r>
    </w:p>
    <w:p>
      <w:pPr>
        <w:pStyle w:val="Normal"/>
        <w:bidi w:val="0"/>
        <w:spacing w:lineRule="auto" w:line="240" w:before="40" w:after="60"/>
        <w:ind w:hanging="0" w:start="0" w:end="0"/>
        <w:jc w:val="both"/>
        <w:rPr>
          <w:rFonts w:ascii="Arial" w:hAnsi="Arial" w:eastAsia="Arial" w:cs="Arial"/>
          <w:b w:val="false"/>
          <w:bCs w:val="false"/>
          <w:i w:val="false"/>
          <w:i w:val="false"/>
          <w:iCs w:val="false"/>
          <w:color w:val="auto"/>
          <w:sz w:val="24"/>
          <w:szCs w:val="24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olor w:val="auto"/>
          <w:sz w:val="24"/>
          <w:szCs w:val="24"/>
        </w:rPr>
        <w:t>La scelta dei Fe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auto"/>
          <w:sz w:val="24"/>
          <w:szCs w:val="24"/>
          <w:vertAlign w:val="subscript"/>
        </w:rPr>
        <w:t>Inq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auto"/>
          <w:sz w:val="24"/>
          <w:szCs w:val="24"/>
        </w:rPr>
        <w:t xml:space="preserve"> dei diversi inquinanti (NO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auto"/>
          <w:sz w:val="24"/>
          <w:szCs w:val="24"/>
          <w:vertAlign w:val="subscript"/>
        </w:rPr>
        <w:t xml:space="preserve">x 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auto"/>
          <w:sz w:val="24"/>
          <w:szCs w:val="24"/>
        </w:rPr>
        <w:t>e PM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auto"/>
          <w:sz w:val="24"/>
          <w:szCs w:val="24"/>
          <w:vertAlign w:val="subscript"/>
        </w:rPr>
        <w:t>10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auto"/>
          <w:position w:val="0"/>
          <w:sz w:val="24"/>
          <w:sz w:val="24"/>
          <w:szCs w:val="24"/>
          <w:vertAlign w:val="baseline"/>
        </w:rPr>
        <w:t>) e per I gas serra (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auto"/>
          <w:position w:val="0"/>
          <w:sz w:val="24"/>
          <w:sz w:val="24"/>
          <w:szCs w:val="24"/>
          <w:vertAlign w:val="baseline"/>
        </w:rPr>
        <w:t>CO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auto"/>
          <w:sz w:val="24"/>
          <w:szCs w:val="24"/>
          <w:vertAlign w:val="subscript"/>
        </w:rPr>
        <w:t>2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auto"/>
          <w:position w:val="0"/>
          <w:sz w:val="24"/>
          <w:sz w:val="24"/>
          <w:szCs w:val="24"/>
          <w:vertAlign w:val="baseline"/>
        </w:rPr>
        <w:t xml:space="preserve">, 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auto"/>
          <w:position w:val="0"/>
          <w:sz w:val="24"/>
          <w:sz w:val="24"/>
          <w:szCs w:val="24"/>
          <w:vertAlign w:val="baseline"/>
        </w:rPr>
        <w:t>N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auto"/>
          <w:sz w:val="24"/>
          <w:szCs w:val="24"/>
          <w:vertAlign w:val="subscript"/>
        </w:rPr>
        <w:t>2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auto"/>
          <w:position w:val="0"/>
          <w:sz w:val="24"/>
          <w:sz w:val="24"/>
          <w:szCs w:val="24"/>
          <w:vertAlign w:val="baseline"/>
        </w:rPr>
        <w:t>O e CH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auto"/>
          <w:sz w:val="24"/>
          <w:szCs w:val="24"/>
          <w:vertAlign w:val="subscript"/>
        </w:rPr>
        <w:t>4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auto"/>
          <w:sz w:val="24"/>
          <w:szCs w:val="24"/>
        </w:rPr>
        <w:t xml:space="preserve">) 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auto"/>
          <w:sz w:val="24"/>
          <w:szCs w:val="24"/>
        </w:rPr>
        <w:t>per i mezzi di trasporto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auto"/>
          <w:sz w:val="24"/>
          <w:szCs w:val="24"/>
        </w:rPr>
        <w:t xml:space="preserve"> è un aspetto determinante, in quanto direttamente collegato alle diverse classi ambientali di appartenenza (classe Euro), alle diverse tipologie di alimentazione, alla cilindrata e al ciclo di guida (urbano, extra urbano o autostradale). 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auto"/>
          <w:sz w:val="24"/>
          <w:szCs w:val="24"/>
        </w:rPr>
        <w:t xml:space="preserve">Occorre puntualizzare che I gas serra  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auto"/>
          <w:position w:val="0"/>
          <w:sz w:val="24"/>
          <w:sz w:val="24"/>
          <w:szCs w:val="24"/>
          <w:vertAlign w:val="baseline"/>
        </w:rPr>
        <w:t>N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auto"/>
          <w:sz w:val="24"/>
          <w:szCs w:val="24"/>
          <w:vertAlign w:val="subscript"/>
        </w:rPr>
        <w:t>2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auto"/>
          <w:position w:val="0"/>
          <w:sz w:val="24"/>
          <w:sz w:val="24"/>
          <w:szCs w:val="24"/>
          <w:vertAlign w:val="baseline"/>
        </w:rPr>
        <w:t>O e CH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auto"/>
          <w:sz w:val="24"/>
          <w:szCs w:val="24"/>
          <w:vertAlign w:val="subscript"/>
        </w:rPr>
        <w:t xml:space="preserve">4 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auto"/>
          <w:position w:val="0"/>
          <w:sz w:val="24"/>
          <w:sz w:val="24"/>
          <w:szCs w:val="24"/>
          <w:vertAlign w:val="baseline"/>
        </w:rPr>
        <w:t>sono necessari, unitamente alla CO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auto"/>
          <w:sz w:val="24"/>
          <w:szCs w:val="24"/>
          <w:vertAlign w:val="subscript"/>
        </w:rPr>
        <w:t>2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auto"/>
          <w:position w:val="0"/>
          <w:sz w:val="24"/>
          <w:sz w:val="24"/>
          <w:szCs w:val="24"/>
          <w:vertAlign w:val="baseline"/>
        </w:rPr>
        <w:t>, per il calcolo della riduzione di CO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auto"/>
          <w:sz w:val="24"/>
          <w:szCs w:val="24"/>
          <w:vertAlign w:val="subscript"/>
        </w:rPr>
        <w:t>2 equiv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auto"/>
          <w:position w:val="0"/>
          <w:sz w:val="24"/>
          <w:sz w:val="24"/>
          <w:szCs w:val="24"/>
          <w:vertAlign w:val="baseline"/>
        </w:rPr>
        <w:t>.</w:t>
      </w:r>
    </w:p>
    <w:p>
      <w:pPr>
        <w:pStyle w:val="Normal"/>
        <w:bidi w:val="0"/>
        <w:spacing w:lineRule="auto" w:line="240" w:before="40" w:after="60"/>
        <w:ind w:hanging="0" w:start="0" w:end="0"/>
        <w:jc w:val="both"/>
        <w:rPr>
          <w:rFonts w:ascii="Arial" w:hAnsi="Arial" w:eastAsia="Arial" w:cs="Arial"/>
          <w:i w:val="false"/>
          <w:i w:val="false"/>
          <w:iCs w:val="false"/>
          <w:color w:val="auto"/>
          <w:sz w:val="20"/>
          <w:szCs w:val="20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olor w:val="auto"/>
          <w:sz w:val="24"/>
          <w:szCs w:val="24"/>
        </w:rPr>
        <w:t xml:space="preserve">Qualora non sia possibile avere informazioni dettagliate su tipologia di mezzi (Autovetture, Veicoli leggeri, Veicoli pesanti), loro alimentazione e classe EURO, 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auto"/>
          <w:sz w:val="24"/>
          <w:szCs w:val="24"/>
        </w:rPr>
        <w:t xml:space="preserve">coinvolti nella stima della riduzione delle percorrenze, 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auto"/>
          <w:sz w:val="24"/>
          <w:szCs w:val="24"/>
        </w:rPr>
        <w:t xml:space="preserve">si consiglia di ricavare fattori di emissione medi 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auto"/>
          <w:sz w:val="24"/>
          <w:szCs w:val="24"/>
        </w:rPr>
        <w:t>per il proprio comune, attingendo le informazioni sul parco veicolare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auto"/>
          <w:sz w:val="24"/>
          <w:szCs w:val="24"/>
        </w:rPr>
        <w:t xml:space="preserve">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attraverso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i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 dati ACI disponibili in rete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(</w:t>
      </w:r>
      <w:hyperlink r:id="rId6">
        <w:r>
          <w:rPr>
            <w:rStyle w:val="Hyperlink"/>
            <w:rFonts w:eastAsia="Arial" w:cs="Arial" w:ascii="Arial" w:hAnsi="Arial"/>
            <w:i w:val="false"/>
            <w:iCs w:val="false"/>
            <w:color w:val="auto"/>
            <w:sz w:val="24"/>
            <w:szCs w:val="24"/>
          </w:rPr>
          <w:t>https://aci.gov.it/attivita-e-progetti/studi-e-ricerche/open-data/</w:t>
        </w:r>
      </w:hyperlink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 ; </w:t>
      </w:r>
      <w:hyperlink r:id="rId7">
        <w:r>
          <w:rPr>
            <w:rStyle w:val="Hyperlink"/>
            <w:rFonts w:eastAsia="Arial" w:cs="Arial" w:ascii="Arial" w:hAnsi="Arial"/>
            <w:i w:val="false"/>
            <w:iCs w:val="false"/>
            <w:color w:val="auto"/>
            <w:sz w:val="24"/>
            <w:szCs w:val="24"/>
          </w:rPr>
          <w:t>https://aci.gov.it/app/uploads/2026/06/Autoritratto-2025-OD.rar</w:t>
        </w:r>
      </w:hyperlink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):</w:t>
      </w:r>
    </w:p>
    <w:p>
      <w:pPr>
        <w:pStyle w:val="Normal"/>
        <w:numPr>
          <w:ilvl w:val="0"/>
          <w:numId w:val="3"/>
        </w:numPr>
        <w:bidi w:val="0"/>
        <w:spacing w:lineRule="auto" w:line="240" w:before="40" w:after="60"/>
        <w:jc w:val="both"/>
        <w:rPr>
          <w:rFonts w:ascii="Arial" w:hAnsi="Arial"/>
          <w:i w:val="false"/>
          <w:i w:val="false"/>
          <w:iCs w:val="false"/>
          <w:color w:val="auto"/>
          <w:sz w:val="24"/>
          <w:szCs w:val="24"/>
        </w:rPr>
      </w:pP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la composizione del parco veicolare del comune oggetto dell’intervento, suddiviso per autoveicoli, leggeri, pesanti, cicli e motocili,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in relazione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a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lle classi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ambientali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;                                                                          </w:t>
      </w:r>
    </w:p>
    <w:p>
      <w:pPr>
        <w:pStyle w:val="Normal"/>
        <w:numPr>
          <w:ilvl w:val="0"/>
          <w:numId w:val="3"/>
        </w:numPr>
        <w:bidi w:val="0"/>
        <w:spacing w:lineRule="auto" w:line="240" w:before="40" w:after="60"/>
        <w:jc w:val="both"/>
        <w:rPr>
          <w:rFonts w:ascii="Arial" w:hAnsi="Arial"/>
          <w:i w:val="false"/>
          <w:i w:val="false"/>
          <w:iCs w:val="false"/>
          <w:color w:val="auto"/>
          <w:sz w:val="24"/>
          <w:szCs w:val="24"/>
        </w:rPr>
      </w:pP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la composizione del parco veicolare provinciale, suddiviso per autoveicoli, leggeri, pesanti, cicli e motocili, distinti per Provincia, Alimentazione, Fascia Cilindrata Copert e EURO. Tale composizione consentirà, su base %, di ricondurre il parco comunale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alla suddivisione Copert.</w:t>
      </w:r>
    </w:p>
    <w:p>
      <w:pPr>
        <w:pStyle w:val="Normal"/>
        <w:bidi w:val="0"/>
        <w:spacing w:lineRule="auto" w:line="240" w:before="40" w:after="60"/>
        <w:jc w:val="both"/>
        <w:rPr>
          <w:rFonts w:ascii="Arial" w:hAnsi="Arial" w:eastAsia="Arial" w:cs="Arial"/>
          <w:i w:val="false"/>
          <w:i w:val="false"/>
          <w:iCs w:val="false"/>
          <w:color w:val="auto"/>
          <w:sz w:val="24"/>
          <w:szCs w:val="24"/>
        </w:rPr>
      </w:pP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L’applicazione della composizione provinciale al parco veicolare del comune consentirà di ricavare  le varie categorie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di mezzi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 che potranno essere poi utilizzate per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il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 calcolo delle riduzioni emissive, attraverso l’applicazione degli specifici fattori di emissione.</w:t>
      </w:r>
    </w:p>
    <w:p>
      <w:pPr>
        <w:pStyle w:val="Normal"/>
        <w:bidi w:val="0"/>
        <w:spacing w:lineRule="auto" w:line="240" w:before="40" w:after="60"/>
        <w:jc w:val="both"/>
        <w:rPr>
          <w:rFonts w:ascii="Arial" w:hAnsi="Arial" w:eastAsia="Arial" w:cs="Arial"/>
          <w:i w:val="false"/>
          <w:i w:val="false"/>
          <w:iCs w:val="false"/>
          <w:color w:val="auto"/>
          <w:sz w:val="24"/>
          <w:szCs w:val="24"/>
        </w:rPr>
      </w:pP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E’ necessario riferirsi a fattori di emissione specifici per le varie tipologie di alimentazioni e categorie EURO. Possono essere utilizzate varie fonti dati, tra cui:</w:t>
      </w:r>
    </w:p>
    <w:p>
      <w:pPr>
        <w:pStyle w:val="Normal"/>
        <w:numPr>
          <w:ilvl w:val="0"/>
          <w:numId w:val="4"/>
        </w:numPr>
        <w:bidi w:val="0"/>
        <w:spacing w:lineRule="auto" w:line="240" w:before="40" w:after="60"/>
        <w:jc w:val="both"/>
        <w:rPr/>
      </w:pP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Guidebook Corinair, colonna V del foglio denominato Hot Emission Parameters  ai seguenti link: </w:t>
      </w:r>
      <w:hyperlink r:id="rId8">
        <w:r>
          <w:rPr>
            <w:rStyle w:val="Hyperlink"/>
            <w:rFonts w:eastAsia="Arial" w:cs="Arial" w:ascii="Arial" w:hAnsi="Arial"/>
            <w:i w:val="false"/>
            <w:iCs w:val="false"/>
            <w:color w:val="0563C1"/>
            <w:sz w:val="24"/>
            <w:szCs w:val="24"/>
          </w:rPr>
          <w:t>https://www.eea.europa.eu/en/analysis/publications/emep-eea-guidebook-202</w:t>
        </w:r>
      </w:hyperlink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 , </w:t>
      </w:r>
      <w:hyperlink r:id="rId9">
        <w:r>
          <w:rPr>
            <w:rStyle w:val="Hyperlink"/>
            <w:rFonts w:eastAsia="Arial" w:cs="Arial" w:ascii="Arial" w:hAnsi="Arial"/>
            <w:i w:val="false"/>
            <w:iCs w:val="false"/>
            <w:color w:val="0563C1"/>
            <w:sz w:val="24"/>
            <w:szCs w:val="24"/>
          </w:rPr>
          <w:t>https://www.eea.europa.eu/en/analysis/publications/emep-eea-guidebook-2023/part-b-sectoral-guidance-chapters/1-energy/1-a-combustion/1-a-3-b-i-1/@@download/file</w:t>
        </w:r>
      </w:hyperlink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 ;</w:t>
      </w:r>
    </w:p>
    <w:p>
      <w:pPr>
        <w:pStyle w:val="Normal"/>
        <w:numPr>
          <w:ilvl w:val="0"/>
          <w:numId w:val="4"/>
        </w:numPr>
        <w:bidi w:val="0"/>
        <w:spacing w:lineRule="auto" w:line="240" w:before="40" w:after="60"/>
        <w:jc w:val="both"/>
        <w:rPr/>
      </w:pP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Banca dati ISPRA, fattori di emissione medi del trasporto stradale in Italia, disponibili al seguente link: </w:t>
      </w:r>
      <w:hyperlink r:id="rId10">
        <w:r>
          <w:rPr>
            <w:rStyle w:val="Hyperlink"/>
            <w:rFonts w:eastAsia="Arial" w:cs="Arial" w:ascii="Arial" w:hAnsi="Arial"/>
            <w:i w:val="false"/>
            <w:iCs w:val="false"/>
            <w:color w:val="0563C1"/>
            <w:sz w:val="24"/>
            <w:szCs w:val="24"/>
          </w:rPr>
          <w:t>http://www.sinanet.isprambiente.it/it/sia-ispra/fetransp</w:t>
        </w:r>
      </w:hyperlink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;</w:t>
      </w:r>
    </w:p>
    <w:p>
      <w:pPr>
        <w:pStyle w:val="Normal"/>
        <w:numPr>
          <w:ilvl w:val="0"/>
          <w:numId w:val="4"/>
        </w:numPr>
        <w:bidi w:val="0"/>
        <w:spacing w:lineRule="auto" w:line="240" w:before="40" w:after="60"/>
        <w:jc w:val="both"/>
        <w:rPr>
          <w:rFonts w:ascii="Arial" w:hAnsi="Arial" w:eastAsia="Arial" w:cs="Arial"/>
          <w:i w:val="false"/>
          <w:i w:val="false"/>
          <w:iCs w:val="false"/>
          <w:color w:val="auto"/>
          <w:sz w:val="24"/>
          <w:szCs w:val="24"/>
        </w:rPr>
      </w:pP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INEMAR, fattori di emissione da traffico per tipo legislativo e inquinante (file denominato “2023_fet2_fattori_emissione_traffico_per_tipo_legisl_e_inq.xls” reso disponibile sul sito di Finpiemonte nella specifica sezione del bando “Città rigenerative”).</w:t>
      </w:r>
    </w:p>
    <w:p>
      <w:pPr>
        <w:pStyle w:val="Normal"/>
        <w:bidi w:val="0"/>
        <w:spacing w:lineRule="auto" w:line="240" w:before="40" w:after="60"/>
        <w:ind w:hanging="0" w:start="0" w:end="0"/>
        <w:jc w:val="both"/>
        <w:rPr>
          <w:rFonts w:ascii="Arial" w:hAnsi="Arial"/>
          <w:i w:val="false"/>
          <w:i w:val="false"/>
          <w:iCs w:val="false"/>
          <w:color w:val="auto"/>
          <w:sz w:val="24"/>
          <w:szCs w:val="24"/>
        </w:rPr>
      </w:pP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Oltre alla compilazione della tabella sottostante è necessaria </w:t>
      </w:r>
      <w:r>
        <w:rPr>
          <w:rFonts w:ascii="Arial" w:hAnsi="Arial"/>
          <w:i w:val="false"/>
          <w:iCs w:val="false"/>
          <w:color w:val="auto"/>
          <w:sz w:val="24"/>
          <w:szCs w:val="24"/>
        </w:rPr>
        <w:t>l'indicazione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 della metodologia adottata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nelle stime, 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oltre che l’illustrazione nella relazione della modalità di calcolo effettua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t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>a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. </w:t>
      </w:r>
      <w:r>
        <w:rPr>
          <w:rFonts w:eastAsia="Arial" w:cs="Arial" w:ascii="Arial" w:hAnsi="Arial"/>
          <w:b/>
          <w:bCs/>
          <w:i w:val="false"/>
          <w:iCs w:val="false"/>
          <w:color w:val="auto"/>
          <w:sz w:val="24"/>
          <w:szCs w:val="24"/>
        </w:rPr>
        <w:t>La tabella deve essere compilata per i singoli interventi previsti dal progetto.</w:t>
      </w:r>
      <w:r>
        <w:rPr>
          <w:rFonts w:eastAsia="Arial" w:cs="Arial" w:ascii="Arial" w:hAnsi="Arial"/>
          <w:i w:val="false"/>
          <w:iCs w:val="false"/>
          <w:color w:val="auto"/>
          <w:sz w:val="24"/>
          <w:szCs w:val="24"/>
        </w:rPr>
        <w:t xml:space="preserve"> </w:t>
      </w:r>
      <w:r>
        <w:rPr>
          <w:rFonts w:eastAsia="Arial" w:cs="Arial" w:ascii="Arial" w:hAnsi="Arial"/>
          <w:b/>
          <w:bCs/>
          <w:i w:val="false"/>
          <w:iCs w:val="false"/>
          <w:color w:val="auto"/>
          <w:sz w:val="24"/>
          <w:szCs w:val="24"/>
        </w:rPr>
        <w:t xml:space="preserve">Occorre prevedere una tabella finale di sintesi degli indicatori per l’intero progetto. </w:t>
      </w:r>
    </w:p>
    <w:p>
      <w:pPr>
        <w:pStyle w:val="Normal"/>
        <w:bidi w:val="0"/>
        <w:spacing w:lineRule="auto" w:line="240" w:before="40" w:after="60"/>
        <w:ind w:hanging="0" w:start="0" w:end="0"/>
        <w:jc w:val="both"/>
        <w:rPr>
          <w:rFonts w:ascii="Arial" w:hAnsi="Arial" w:eastAsia="Arial" w:cs="Arial"/>
          <w:b/>
          <w:bCs/>
          <w:i w:val="false"/>
          <w:i w:val="false"/>
          <w:iCs w:val="false"/>
          <w:color w:val="auto"/>
          <w:sz w:val="24"/>
          <w:szCs w:val="24"/>
        </w:rPr>
      </w:pPr>
      <w:r>
        <w:rPr>
          <w:rFonts w:eastAsia="Arial" w:cs="Arial" w:ascii="Arial" w:hAnsi="Arial"/>
          <w:b/>
          <w:bCs/>
          <w:i w:val="false"/>
          <w:iCs w:val="false"/>
          <w:color w:val="auto"/>
          <w:sz w:val="24"/>
          <w:szCs w:val="24"/>
        </w:rPr>
      </w:r>
    </w:p>
    <w:p>
      <w:pPr>
        <w:pStyle w:val="Normal"/>
        <w:bidi w:val="0"/>
        <w:spacing w:lineRule="auto" w:line="240" w:before="100" w:after="60"/>
        <w:jc w:val="start"/>
        <w:rPr>
          <w:rFonts w:ascii="Arial" w:hAnsi="Arial" w:eastAsia="Arial" w:cs="Arial"/>
          <w:b/>
          <w:bCs/>
          <w:color w:val="1F4E79"/>
          <w:sz w:val="24"/>
          <w:szCs w:val="24"/>
        </w:rPr>
      </w:pPr>
      <w:r>
        <w:rPr>
          <w:rFonts w:eastAsia="Arial" w:cs="Arial" w:ascii="Arial" w:hAnsi="Arial"/>
          <w:b/>
          <w:bCs/>
          <w:color w:val="1F4E79"/>
          <w:sz w:val="24"/>
          <w:szCs w:val="24"/>
        </w:rPr>
        <w:t>Tabella 2.</w:t>
      </w:r>
      <w:r>
        <w:rPr>
          <w:rFonts w:eastAsia="Arial" w:cs="Arial" w:ascii="Arial" w:hAnsi="Arial"/>
          <w:b/>
          <w:bCs/>
          <w:color w:val="1F4E79"/>
          <w:sz w:val="24"/>
          <w:szCs w:val="24"/>
        </w:rPr>
        <w:t>2.a – Indicatori ambientali relativi agli interventi proposti</w:t>
      </w:r>
    </w:p>
    <w:p>
      <w:pPr>
        <w:pStyle w:val="Normal"/>
        <w:bidi w:val="0"/>
        <w:spacing w:lineRule="auto" w:line="240" w:before="40" w:after="60"/>
        <w:ind w:hanging="0" w:start="0" w:end="0"/>
        <w:jc w:val="start"/>
        <w:rPr>
          <w:i/>
          <w:i/>
          <w:iCs/>
          <w:color w:val="666666"/>
          <w:sz w:val="24"/>
          <w:szCs w:val="24"/>
        </w:rPr>
      </w:pPr>
      <w:r>
        <w:rPr>
          <w:i/>
          <w:iCs/>
          <w:color w:val="666666"/>
          <w:sz w:val="24"/>
          <w:szCs w:val="24"/>
        </w:rPr>
      </w:r>
    </w:p>
    <w:tbl>
      <w:tblPr>
        <w:tblW w:w="9196" w:type="dxa"/>
        <w:jc w:val="start"/>
        <w:tblInd w:w="-5" w:type="dxa"/>
        <w:tblLayout w:type="fixed"/>
        <w:tblCellMar>
          <w:top w:w="60" w:type="dxa"/>
          <w:start w:w="100" w:type="dxa"/>
          <w:bottom w:w="60" w:type="dxa"/>
          <w:end w:w="100" w:type="dxa"/>
        </w:tblCellMar>
      </w:tblPr>
      <w:tblGrid>
        <w:gridCol w:w="5723"/>
        <w:gridCol w:w="1362"/>
        <w:gridCol w:w="2111"/>
      </w:tblGrid>
      <w:tr>
        <w:trPr/>
        <w:tc>
          <w:tcPr>
            <w:tcW w:w="5723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Parametro</w:t>
            </w:r>
          </w:p>
        </w:tc>
        <w:tc>
          <w:tcPr>
            <w:tcW w:w="1362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Unità di misura</w:t>
            </w:r>
          </w:p>
        </w:tc>
        <w:tc>
          <w:tcPr>
            <w:tcW w:w="2111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 xml:space="preserve">Valore </w:t>
            </w: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utilizzato dal</w:t>
            </w: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 xml:space="preserve"> proponente</w:t>
            </w:r>
          </w:p>
        </w:tc>
      </w:tr>
      <w:tr>
        <w:trPr/>
        <w:tc>
          <w:tcPr>
            <w:tcW w:w="5723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Lunghezza del percorso / area di intervento</w:t>
            </w:r>
          </w:p>
        </w:tc>
        <w:tc>
          <w:tcPr>
            <w:tcW w:w="1362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m lineari o m</w:t>
            </w:r>
            <w:r>
              <w:rPr>
                <w:rFonts w:eastAsia="Arial" w:cs="Arial" w:ascii="Arial" w:hAnsi="Arial"/>
                <w:color w:val="40404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11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23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0F5FA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40" w:after="60"/>
              <w:ind w:hanging="0" w:start="0" w:end="0"/>
              <w:jc w:val="start"/>
              <w:rPr>
                <w:rFonts w:ascii="Arial" w:hAnsi="Arial" w:eastAsia="Arial" w:cs="Arial"/>
                <w:color w:val="666666"/>
                <w:sz w:val="24"/>
                <w:szCs w:val="24"/>
              </w:rPr>
            </w:pPr>
            <w:r>
              <w:rPr>
                <w:rFonts w:eastAsia="Arial" w:cs="Arial" w:ascii="Arial" w:hAnsi="Arial"/>
                <w:i/>
                <w:iCs/>
                <w:color w:val="666666"/>
                <w:sz w:val="24"/>
                <w:szCs w:val="24"/>
              </w:rPr>
              <w:t>∆</w:t>
            </w:r>
            <w:r>
              <w:rPr>
                <w:rFonts w:eastAsia="Arial" w:cs="Arial" w:ascii="Arial" w:hAnsi="Arial"/>
                <w:i/>
                <w:iCs/>
                <w:color w:val="666666"/>
                <w:sz w:val="24"/>
                <w:szCs w:val="24"/>
              </w:rPr>
              <w:t>km</w:t>
            </w:r>
            <w:r>
              <w:rPr>
                <w:rFonts w:eastAsia="Arial" w:cs="Arial" w:ascii="Arial" w:hAnsi="Arial"/>
                <w:i/>
                <w:iCs/>
                <w:color w:val="666666"/>
                <w:sz w:val="24"/>
                <w:szCs w:val="24"/>
                <w:vertAlign w:val="subscript"/>
              </w:rPr>
              <w:t xml:space="preserve">auto  </w:t>
            </w:r>
            <w:r>
              <w:rPr>
                <w:rFonts w:eastAsia="Arial" w:cs="Arial" w:ascii="Arial" w:hAnsi="Arial"/>
                <w:i/>
                <w:iCs/>
                <w:color w:val="666666"/>
                <w:sz w:val="24"/>
                <w:szCs w:val="24"/>
                <w:vertAlign w:val="subscript"/>
              </w:rPr>
              <w:t>(</w:t>
            </w: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R</w:t>
            </w: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iduzione delle percorrenze o spostamenti evitati dei mezzi privati</w:t>
            </w: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)</w:t>
            </w:r>
          </w:p>
        </w:tc>
        <w:tc>
          <w:tcPr>
            <w:tcW w:w="1362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0F5FA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veh·km/anno</w:t>
            </w:r>
          </w:p>
        </w:tc>
        <w:tc>
          <w:tcPr>
            <w:tcW w:w="2111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0F5FA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23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Fattore di emissione PM</w:t>
            </w:r>
            <w:r>
              <w:rPr>
                <w:rFonts w:eastAsia="Arial" w:cs="Arial" w:ascii="Arial" w:hAnsi="Arial"/>
                <w:color w:val="404040"/>
                <w:sz w:val="24"/>
                <w:szCs w:val="24"/>
                <w:vertAlign w:val="subscript"/>
              </w:rPr>
              <w:t>10</w:t>
            </w: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— fonte </w:t>
            </w: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CORINAIR,</w:t>
            </w: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COPERT, </w:t>
            </w: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ISPRA, </w:t>
            </w: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INEMAR, stimato a livello comunale sulla base dei precedenti</w:t>
            </w:r>
          </w:p>
        </w:tc>
        <w:tc>
          <w:tcPr>
            <w:tcW w:w="1362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m</w:t>
            </w: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g/km</w:t>
            </w:r>
          </w:p>
        </w:tc>
        <w:tc>
          <w:tcPr>
            <w:tcW w:w="2111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23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0F5FA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Fattore di emissione NO</w:t>
            </w:r>
            <w:r>
              <w:rPr>
                <w:rFonts w:eastAsia="Arial" w:cs="Arial" w:ascii="Arial" w:hAnsi="Arial"/>
                <w:color w:val="404040"/>
                <w:sz w:val="24"/>
                <w:szCs w:val="24"/>
                <w:vertAlign w:val="subscript"/>
              </w:rPr>
              <w:t xml:space="preserve">x </w:t>
            </w: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— fonte </w:t>
            </w: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CORINAIR,</w:t>
            </w: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COPERT, </w:t>
            </w: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ISPRA,  </w:t>
            </w: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INEMAR, stimato a livello comunale sulla base dei precedenti</w:t>
            </w:r>
          </w:p>
        </w:tc>
        <w:tc>
          <w:tcPr>
            <w:tcW w:w="1362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0F5FA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m</w:t>
            </w: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g/km</w:t>
            </w:r>
          </w:p>
        </w:tc>
        <w:tc>
          <w:tcPr>
            <w:tcW w:w="2111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0F5FA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23" w:type="dxa"/>
            <w:tcBorders>
              <w:start w:val="single" w:sz="4" w:space="0" w:color="AAAAAA"/>
              <w:bottom w:val="single" w:sz="4" w:space="0" w:color="AAAAAA"/>
              <w:end w:val="single" w:sz="4" w:space="0" w:color="AAAAAA"/>
            </w:tcBorders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Fattore di emissione </w:t>
            </w: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CO</w:t>
            </w:r>
            <w:r>
              <w:rPr>
                <w:rFonts w:eastAsia="Arial" w:cs="Arial" w:ascii="Arial" w:hAnsi="Arial"/>
                <w:color w:val="404040"/>
                <w:sz w:val="24"/>
                <w:szCs w:val="24"/>
                <w:vertAlign w:val="subscript"/>
              </w:rPr>
              <w:t>2</w:t>
            </w: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— fonte </w:t>
            </w: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CORINAIR,</w:t>
            </w: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COPERT, </w:t>
            </w: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ISPRA,  </w:t>
            </w: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INEMAR, stimato a livello comunale sulla base dei precedenti</w:t>
            </w:r>
          </w:p>
        </w:tc>
        <w:tc>
          <w:tcPr>
            <w:tcW w:w="1362" w:type="dxa"/>
            <w:tcBorders>
              <w:start w:val="single" w:sz="4" w:space="0" w:color="AAAAAA"/>
              <w:bottom w:val="single" w:sz="4" w:space="0" w:color="AAAAAA"/>
              <w:end w:val="single" w:sz="4" w:space="0" w:color="AAAAAA"/>
            </w:tcBorders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g/km</w:t>
            </w:r>
          </w:p>
        </w:tc>
        <w:tc>
          <w:tcPr>
            <w:tcW w:w="2111" w:type="dxa"/>
            <w:tcBorders>
              <w:start w:val="single" w:sz="4" w:space="0" w:color="AAAAAA"/>
              <w:bottom w:val="single" w:sz="4" w:space="0" w:color="AAAAAA"/>
              <w:end w:val="single" w:sz="4" w:space="0" w:color="AAAAAA"/>
            </w:tcBorders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23" w:type="dxa"/>
            <w:tcBorders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0F5FA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Fattore di emissione N</w:t>
            </w:r>
            <w:r>
              <w:rPr>
                <w:rFonts w:eastAsia="Arial" w:cs="Arial" w:ascii="Arial" w:hAnsi="Arial"/>
                <w:color w:val="404040"/>
                <w:sz w:val="24"/>
                <w:szCs w:val="24"/>
                <w:vertAlign w:val="subscript"/>
              </w:rPr>
              <w:t>2</w:t>
            </w: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O  — fonte CORINAIR, COPERT, ISPRA,  INEMAR, stimato a livello comunale sulla base dei precedenti</w:t>
            </w:r>
          </w:p>
        </w:tc>
        <w:tc>
          <w:tcPr>
            <w:tcW w:w="1362" w:type="dxa"/>
            <w:tcBorders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0F5FA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m</w:t>
            </w: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g/km</w:t>
            </w:r>
          </w:p>
        </w:tc>
        <w:tc>
          <w:tcPr>
            <w:tcW w:w="2111" w:type="dxa"/>
            <w:tcBorders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0F5FA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23" w:type="dxa"/>
            <w:tcBorders>
              <w:start w:val="single" w:sz="4" w:space="0" w:color="AAAAAA"/>
              <w:bottom w:val="single" w:sz="4" w:space="0" w:color="AAAAAA"/>
              <w:end w:val="single" w:sz="4" w:space="0" w:color="AAAAAA"/>
            </w:tcBorders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Fattore di emissione</w:t>
            </w: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CH</w:t>
            </w:r>
            <w:r>
              <w:rPr>
                <w:rFonts w:eastAsia="Arial" w:cs="Arial" w:ascii="Arial" w:hAnsi="Arial"/>
                <w:color w:val="404040"/>
                <w:sz w:val="24"/>
                <w:szCs w:val="24"/>
                <w:vertAlign w:val="subscript"/>
              </w:rPr>
              <w:t>4</w:t>
            </w: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 — </w:t>
            </w: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fonte </w:t>
            </w: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CORINAIR,</w:t>
            </w: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COPERT, </w:t>
            </w: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ISPRA,  </w:t>
            </w: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INEMAR, stimato a livello comunale sulla base dei precedenti</w:t>
            </w:r>
          </w:p>
        </w:tc>
        <w:tc>
          <w:tcPr>
            <w:tcW w:w="1362" w:type="dxa"/>
            <w:tcBorders>
              <w:start w:val="single" w:sz="4" w:space="0" w:color="AAAAAA"/>
              <w:bottom w:val="single" w:sz="4" w:space="0" w:color="AAAAAA"/>
              <w:end w:val="single" w:sz="4" w:space="0" w:color="AAAAAA"/>
            </w:tcBorders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m</w:t>
            </w: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g/km</w:t>
            </w:r>
          </w:p>
        </w:tc>
        <w:tc>
          <w:tcPr>
            <w:tcW w:w="2111" w:type="dxa"/>
            <w:tcBorders>
              <w:start w:val="single" w:sz="4" w:space="0" w:color="AAAAAA"/>
              <w:bottom w:val="single" w:sz="4" w:space="0" w:color="AAAAAA"/>
              <w:end w:val="single" w:sz="4" w:space="0" w:color="AAAAAA"/>
            </w:tcBorders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23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0F5FA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Riduzione NO</w:t>
            </w:r>
            <w:r>
              <w:rPr>
                <w:rFonts w:eastAsia="Arial" w:cs="Arial" w:ascii="Arial" w:hAnsi="Arial"/>
                <w:color w:val="404040"/>
                <w:sz w:val="24"/>
                <w:szCs w:val="24"/>
                <w:vertAlign w:val="subscript"/>
              </w:rPr>
              <w:t xml:space="preserve">x </w:t>
            </w:r>
          </w:p>
        </w:tc>
        <w:tc>
          <w:tcPr>
            <w:tcW w:w="1362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0F5FA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kg/anno</w:t>
            </w:r>
          </w:p>
        </w:tc>
        <w:tc>
          <w:tcPr>
            <w:tcW w:w="2111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0F5FA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23" w:type="dxa"/>
            <w:tcBorders>
              <w:start w:val="single" w:sz="4" w:space="0" w:color="AAAAAA"/>
              <w:bottom w:val="single" w:sz="4" w:space="0" w:color="AAAAAA"/>
              <w:end w:val="single" w:sz="4" w:space="0" w:color="AAAAAA"/>
            </w:tcBorders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Riduzione PM</w:t>
            </w:r>
            <w:r>
              <w:rPr>
                <w:rFonts w:eastAsia="Arial" w:cs="Arial" w:ascii="Arial" w:hAnsi="Arial"/>
                <w:color w:val="404040"/>
                <w:sz w:val="24"/>
                <w:szCs w:val="24"/>
                <w:vertAlign w:val="subscript"/>
              </w:rPr>
              <w:t>10</w:t>
            </w: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</w:t>
            </w:r>
          </w:p>
        </w:tc>
        <w:tc>
          <w:tcPr>
            <w:tcW w:w="1362" w:type="dxa"/>
            <w:tcBorders>
              <w:start w:val="single" w:sz="4" w:space="0" w:color="AAAAAA"/>
              <w:bottom w:val="single" w:sz="4" w:space="0" w:color="AAAAAA"/>
              <w:end w:val="single" w:sz="4" w:space="0" w:color="AAAAAA"/>
            </w:tcBorders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kg/anno</w:t>
            </w:r>
          </w:p>
        </w:tc>
        <w:tc>
          <w:tcPr>
            <w:tcW w:w="2111" w:type="dxa"/>
            <w:tcBorders>
              <w:start w:val="single" w:sz="4" w:space="0" w:color="AAAAAA"/>
              <w:bottom w:val="single" w:sz="4" w:space="0" w:color="AAAAAA"/>
              <w:end w:val="single" w:sz="4" w:space="0" w:color="AAAAAA"/>
            </w:tcBorders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23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0F5FA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Riduzione CO₂ equiv.</w:t>
            </w:r>
          </w:p>
        </w:tc>
        <w:tc>
          <w:tcPr>
            <w:tcW w:w="1362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0F5FA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kg/anno</w:t>
            </w:r>
          </w:p>
        </w:tc>
        <w:tc>
          <w:tcPr>
            <w:tcW w:w="2111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0F5FA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bidi w:val="0"/>
        <w:spacing w:lineRule="auto" w:line="240" w:before="60" w:after="80"/>
        <w:jc w:val="start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200" w:type="dxa"/>
        <w:jc w:val="start"/>
        <w:tblInd w:w="-5" w:type="dxa"/>
        <w:tblLayout w:type="fixed"/>
        <w:tblCellMar>
          <w:top w:w="60" w:type="dxa"/>
          <w:start w:w="120" w:type="dxa"/>
          <w:bottom w:w="60" w:type="dxa"/>
          <w:end w:w="120" w:type="dxa"/>
        </w:tblCellMar>
      </w:tblPr>
      <w:tblGrid>
        <w:gridCol w:w="9200"/>
      </w:tblGrid>
      <w:tr>
        <w:trPr/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shd w:fill="DEEAF1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1F4E79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 xml:space="preserve">Metodologia adottata per la stima </w:t>
            </w: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 xml:space="preserve">e </w:t>
            </w: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 xml:space="preserve">descrizione </w:t>
            </w: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>della modalità di calcolo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                                                                                               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</w:tbl>
    <w:p>
      <w:pPr>
        <w:pStyle w:val="Normal"/>
        <w:bidi w:val="0"/>
        <w:spacing w:lineRule="auto" w:line="240" w:before="40" w:after="60"/>
        <w:ind w:hanging="0" w:start="0" w:end="0"/>
        <w:jc w:val="start"/>
        <w:rPr>
          <w:rFonts w:ascii="Arial" w:hAnsi="Arial" w:eastAsia="Arial" w:cs="Arial"/>
          <w:i/>
          <w:i/>
          <w:iCs/>
          <w:color w:val="666666"/>
          <w:sz w:val="24"/>
          <w:szCs w:val="24"/>
        </w:rPr>
      </w:pPr>
      <w:r>
        <w:rPr>
          <w:rFonts w:eastAsia="Arial" w:cs="Arial" w:ascii="Arial" w:hAnsi="Arial"/>
          <w:i/>
          <w:iCs/>
          <w:color w:val="666666"/>
          <w:sz w:val="24"/>
          <w:szCs w:val="24"/>
        </w:rPr>
      </w:r>
    </w:p>
    <w:p>
      <w:pPr>
        <w:pStyle w:val="Normal"/>
        <w:bidi w:val="0"/>
        <w:spacing w:lineRule="auto" w:line="240" w:before="40" w:after="60"/>
        <w:ind w:hanging="0" w:start="0" w:end="0"/>
        <w:jc w:val="start"/>
        <w:rPr>
          <w:rFonts w:ascii="Arial" w:hAnsi="Arial" w:eastAsia="Arial" w:cs="Arial"/>
          <w:i/>
          <w:i/>
          <w:iCs/>
          <w:color w:val="666666"/>
          <w:sz w:val="24"/>
          <w:szCs w:val="24"/>
        </w:rPr>
      </w:pPr>
      <w:r>
        <w:rPr>
          <w:rFonts w:eastAsia="Arial" w:cs="Arial" w:ascii="Arial" w:hAnsi="Arial"/>
          <w:i/>
          <w:iCs/>
          <w:color w:val="666666"/>
          <w:sz w:val="24"/>
          <w:szCs w:val="24"/>
        </w:rPr>
      </w:r>
    </w:p>
    <w:p>
      <w:pPr>
        <w:pStyle w:val="Heading2"/>
        <w:spacing w:lineRule="auto" w:line="240" w:before="280" w:after="120"/>
        <w:rPr>
          <w:rFonts w:ascii="Arial" w:hAnsi="Arial" w:eastAsia="Arial" w:cs="Arial"/>
          <w:b/>
          <w:bCs/>
          <w:color w:val="2E75B6"/>
          <w:sz w:val="24"/>
          <w:szCs w:val="24"/>
        </w:rPr>
      </w:pPr>
      <w:r>
        <w:rPr>
          <w:rFonts w:eastAsia="Arial" w:cs="Arial"/>
          <w:b/>
          <w:bCs/>
          <w:color w:val="2E75B6"/>
          <w:sz w:val="24"/>
          <w:szCs w:val="24"/>
        </w:rPr>
        <w:t>2.3 Integrazione con la mobilità collettiva e connessione con i poli attrattori</w:t>
      </w:r>
    </w:p>
    <w:tbl>
      <w:tblPr>
        <w:tblW w:w="9200" w:type="dxa"/>
        <w:jc w:val="start"/>
        <w:tblInd w:w="0" w:type="dxa"/>
        <w:tblLayout w:type="fixed"/>
        <w:tblCellMar>
          <w:top w:w="60" w:type="dxa"/>
          <w:start w:w="160" w:type="dxa"/>
          <w:bottom w:w="40" w:type="dxa"/>
          <w:end w:w="160" w:type="dxa"/>
        </w:tblCellMar>
      </w:tblPr>
      <w:tblGrid>
        <w:gridCol w:w="9200"/>
      </w:tblGrid>
      <w:tr>
        <w:trPr/>
        <w:tc>
          <w:tcPr>
            <w:tcW w:w="9200" w:type="dxa"/>
            <w:tcBorders/>
            <w:shd w:fill="FCE4D6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C55A11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C55A11"/>
                <w:sz w:val="24"/>
                <w:szCs w:val="24"/>
              </w:rPr>
              <w:t xml:space="preserve">Indicazioni per la compilazione — </w:t>
            </w:r>
            <w:r>
              <w:rPr>
                <w:rFonts w:eastAsia="Arial" w:cs="Arial" w:ascii="Arial" w:hAnsi="Arial"/>
                <w:b/>
                <w:bCs/>
                <w:color w:val="C55A11"/>
                <w:sz w:val="24"/>
                <w:szCs w:val="24"/>
              </w:rPr>
              <w:t xml:space="preserve">Allegato 15 “Griglia dei criteri di valutazione”, </w:t>
            </w:r>
            <w:r>
              <w:rPr>
                <w:rFonts w:eastAsia="Arial" w:cs="Arial" w:ascii="Arial" w:hAnsi="Arial"/>
                <w:b/>
                <w:bCs/>
                <w:color w:val="C55A11"/>
                <w:sz w:val="24"/>
                <w:szCs w:val="24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C55A11"/>
                <w:sz w:val="24"/>
                <w:szCs w:val="24"/>
              </w:rPr>
              <w:t>punt</w:t>
            </w:r>
            <w:r>
              <w:rPr>
                <w:rFonts w:eastAsia="Arial" w:cs="Arial" w:ascii="Arial" w:hAnsi="Arial"/>
                <w:b/>
                <w:bCs/>
                <w:color w:val="C55A11"/>
                <w:sz w:val="24"/>
                <w:szCs w:val="24"/>
              </w:rPr>
              <w:t xml:space="preserve">i 4 e </w:t>
            </w:r>
            <w:r>
              <w:rPr>
                <w:rFonts w:eastAsia="Arial" w:cs="Arial" w:ascii="Arial" w:hAnsi="Arial"/>
                <w:b/>
                <w:bCs/>
                <w:color w:val="C55A11"/>
                <w:sz w:val="24"/>
                <w:szCs w:val="24"/>
              </w:rPr>
              <w:t>9 — SEZIONE PRIORITARIA ai fini della valutazione</w:t>
            </w:r>
          </w:p>
        </w:tc>
      </w:tr>
      <w:tr>
        <w:trPr/>
        <w:tc>
          <w:tcPr>
            <w:tcW w:w="9200" w:type="dxa"/>
            <w:tcBorders/>
            <w:shd w:fill="FCE4D6" w:val="clear"/>
            <w:tcMar>
              <w:top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i/>
                <w:i/>
                <w:iCs/>
                <w:color w:val="843C0C"/>
                <w:sz w:val="24"/>
                <w:szCs w:val="24"/>
              </w:rPr>
            </w:pPr>
            <w:r>
              <w:rPr>
                <w:rFonts w:eastAsia="Arial" w:cs="Arial" w:ascii="Arial" w:hAnsi="Arial"/>
                <w:i/>
                <w:iCs/>
                <w:color w:val="843C0C"/>
                <w:sz w:val="24"/>
                <w:szCs w:val="24"/>
              </w:rPr>
              <w:t>Descrivere le fermate TPL e/o stazioni ferroviarie entro 500 m dall'intervento. Indicare se il percorso si attesta direttamente alla fermata/stazione o ha continuità con un percorso esistente che vi arriva.</w:t>
            </w:r>
          </w:p>
        </w:tc>
      </w:tr>
      <w:tr>
        <w:trPr/>
        <w:tc>
          <w:tcPr>
            <w:tcW w:w="9200" w:type="dxa"/>
            <w:tcBorders/>
            <w:shd w:fill="FCE4D6" w:val="clear"/>
            <w:tcMar>
              <w:top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i/>
                <w:i/>
                <w:iCs/>
                <w:color w:val="843C0C"/>
                <w:sz w:val="24"/>
                <w:szCs w:val="24"/>
              </w:rPr>
            </w:pPr>
            <w:r>
              <w:rPr>
                <w:rFonts w:eastAsia="Arial" w:cs="Arial" w:ascii="Arial" w:hAnsi="Arial"/>
                <w:i/>
                <w:iCs/>
                <w:color w:val="843C0C"/>
                <w:sz w:val="24"/>
                <w:szCs w:val="24"/>
              </w:rPr>
              <w:t>Compilare la tabella dei poli attrattori (Tabella 2.3a): per ciascun polo indicare il numero di utenti sistematici (studenti iscritti da Anagrafe scolastica, addetti da CCIAA o stima motivata) e la percentuale stimata di essi che risiedono entro distanza ciclabile ragionevole (≤3 km per bici, ≤1 km a piedi).</w:t>
            </w:r>
          </w:p>
        </w:tc>
      </w:tr>
      <w:tr>
        <w:trPr/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shd w:fill="DEEAF1" w:val="clear"/>
            <w:tcMar>
              <w:start w:w="120" w:type="dxa"/>
              <w:bottom w:w="60" w:type="dxa"/>
              <w:end w:w="1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1F4E79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>Connessione con il sistema di trasporto pubblico locale e ferroviario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start w:w="120" w:type="dxa"/>
              <w:end w:w="1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start w:w="120" w:type="dxa"/>
              <w:end w:w="1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</w:tbl>
    <w:p>
      <w:pPr>
        <w:pStyle w:val="Normal"/>
        <w:bidi w:val="0"/>
        <w:spacing w:lineRule="auto" w:line="240" w:before="60" w:after="80"/>
        <w:jc w:val="start"/>
        <w:rPr>
          <w:b/>
          <w:bCs/>
          <w:color w:val="1F4E79"/>
          <w:sz w:val="24"/>
          <w:szCs w:val="24"/>
        </w:rPr>
      </w:pPr>
      <w:r>
        <w:rPr>
          <w:b/>
          <w:bCs/>
          <w:color w:val="1F4E79"/>
          <w:sz w:val="24"/>
          <w:szCs w:val="24"/>
        </w:rPr>
      </w:r>
    </w:p>
    <w:p>
      <w:pPr>
        <w:pStyle w:val="Normal"/>
        <w:bidi w:val="0"/>
        <w:spacing w:lineRule="auto" w:line="240" w:before="100" w:after="60"/>
        <w:jc w:val="start"/>
        <w:rPr>
          <w:rFonts w:ascii="Arial" w:hAnsi="Arial" w:eastAsia="Arial" w:cs="Arial"/>
          <w:b/>
          <w:bCs/>
          <w:color w:val="1F4E79"/>
          <w:sz w:val="24"/>
          <w:szCs w:val="24"/>
        </w:rPr>
      </w:pPr>
      <w:r>
        <w:rPr>
          <w:rFonts w:eastAsia="Arial" w:cs="Arial" w:ascii="Arial" w:hAnsi="Arial"/>
          <w:b/>
          <w:bCs/>
          <w:color w:val="1F4E79"/>
          <w:sz w:val="24"/>
          <w:szCs w:val="24"/>
        </w:rPr>
        <w:t>Tabella 2.3a — Poli attrattori serviti dall'intervento</w:t>
      </w:r>
    </w:p>
    <w:p>
      <w:pPr>
        <w:pStyle w:val="Normal"/>
        <w:bidi w:val="0"/>
        <w:spacing w:lineRule="auto" w:line="240" w:before="40" w:after="60"/>
        <w:ind w:hanging="0" w:start="0" w:end="0"/>
        <w:jc w:val="both"/>
        <w:rPr>
          <w:rFonts w:ascii="Arial" w:hAnsi="Arial" w:eastAsia="Arial" w:cs="Arial"/>
          <w:i/>
          <w:i/>
          <w:iCs/>
          <w:color w:val="666666"/>
          <w:sz w:val="24"/>
          <w:szCs w:val="24"/>
        </w:rPr>
      </w:pPr>
      <w:r>
        <w:rPr>
          <w:rFonts w:eastAsia="Arial" w:cs="Arial" w:ascii="Arial" w:hAnsi="Arial"/>
          <w:i/>
          <w:iCs/>
          <w:color w:val="666666"/>
          <w:sz w:val="24"/>
          <w:szCs w:val="24"/>
        </w:rPr>
        <w:t>Indicare per ciascun polo il tipo (scuola, polo produttivo, ospedale, ufficio pubblico, altro), la distanza dall'intervento, il numero di utenti sistematici e la fonte del dato utilizzata.</w:t>
      </w:r>
    </w:p>
    <w:p>
      <w:pPr>
        <w:pStyle w:val="Normal"/>
        <w:bidi w:val="0"/>
        <w:spacing w:lineRule="auto" w:line="240" w:before="40" w:after="60"/>
        <w:ind w:hanging="0" w:start="0" w:end="0"/>
        <w:jc w:val="start"/>
        <w:rPr>
          <w:i/>
          <w:i/>
          <w:iCs/>
          <w:color w:val="666666"/>
          <w:sz w:val="24"/>
          <w:szCs w:val="24"/>
        </w:rPr>
      </w:pPr>
      <w:r>
        <w:rPr>
          <w:i/>
          <w:iCs/>
          <w:color w:val="666666"/>
          <w:sz w:val="24"/>
          <w:szCs w:val="24"/>
        </w:rPr>
      </w:r>
    </w:p>
    <w:tbl>
      <w:tblPr>
        <w:tblW w:w="9200" w:type="dxa"/>
        <w:jc w:val="start"/>
        <w:tblInd w:w="-5" w:type="dxa"/>
        <w:tblLayout w:type="fixed"/>
        <w:tblCellMar>
          <w:top w:w="60" w:type="dxa"/>
          <w:start w:w="80" w:type="dxa"/>
          <w:bottom w:w="60" w:type="dxa"/>
          <w:end w:w="80" w:type="dxa"/>
        </w:tblCellMar>
      </w:tblPr>
      <w:tblGrid>
        <w:gridCol w:w="2200"/>
        <w:gridCol w:w="1400"/>
        <w:gridCol w:w="1600"/>
        <w:gridCol w:w="1600"/>
        <w:gridCol w:w="2400"/>
      </w:tblGrid>
      <w:tr>
        <w:trPr/>
        <w:tc>
          <w:tcPr>
            <w:tcW w:w="2200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Nome / tipo di polo attrattore</w:t>
            </w:r>
          </w:p>
        </w:tc>
        <w:tc>
          <w:tcPr>
            <w:tcW w:w="1400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Distanza dall'intervento (m)</w:t>
            </w:r>
          </w:p>
        </w:tc>
        <w:tc>
          <w:tcPr>
            <w:tcW w:w="1600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N. utenti sistematici</w:t>
            </w:r>
          </w:p>
        </w:tc>
        <w:tc>
          <w:tcPr>
            <w:tcW w:w="1600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% residenti entro ≤3 km (stima)</w:t>
            </w:r>
          </w:p>
        </w:tc>
        <w:tc>
          <w:tcPr>
            <w:tcW w:w="2400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Fonte del dato</w:t>
            </w:r>
          </w:p>
        </w:tc>
      </w:tr>
      <w:tr>
        <w:trPr>
          <w:trHeight w:val="400" w:hRule="atLeast"/>
        </w:trPr>
        <w:tc>
          <w:tcPr>
            <w:tcW w:w="22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00" w:hRule="atLeast"/>
        </w:trPr>
        <w:tc>
          <w:tcPr>
            <w:tcW w:w="22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Heading2"/>
        <w:spacing w:lineRule="auto" w:line="240" w:before="280" w:after="120"/>
        <w:rPr>
          <w:rFonts w:ascii="Arial" w:hAnsi="Arial" w:eastAsia="Arial" w:cs="Arial"/>
          <w:b/>
          <w:bCs/>
          <w:color w:val="2E75B6"/>
          <w:sz w:val="24"/>
          <w:szCs w:val="24"/>
        </w:rPr>
      </w:pPr>
      <w:r>
        <w:rPr>
          <w:rFonts w:eastAsia="Arial" w:cs="Arial"/>
          <w:b/>
          <w:bCs/>
          <w:color w:val="2E75B6"/>
          <w:sz w:val="24"/>
          <w:szCs w:val="24"/>
        </w:rPr>
      </w:r>
    </w:p>
    <w:p>
      <w:pPr>
        <w:pStyle w:val="Heading2"/>
        <w:spacing w:lineRule="auto" w:line="240" w:before="280" w:after="120"/>
        <w:rPr>
          <w:sz w:val="24"/>
          <w:szCs w:val="24"/>
        </w:rPr>
      </w:pPr>
      <w:r>
        <w:rPr>
          <w:rFonts w:eastAsia="Arial" w:cs="Arial"/>
          <w:b/>
          <w:bCs/>
          <w:color w:val="2E75B6"/>
          <w:sz w:val="24"/>
          <w:szCs w:val="24"/>
        </w:rPr>
        <w:t>2.</w:t>
      </w:r>
      <w:r>
        <w:rPr>
          <w:sz w:val="24"/>
          <w:szCs w:val="24"/>
        </w:rPr>
        <w:t>4</w:t>
      </w:r>
      <w:r>
        <w:rPr>
          <w:rFonts w:eastAsia="Arial" w:cs="Arial"/>
          <w:b/>
          <w:bCs/>
          <w:color w:val="2E75B6"/>
          <w:sz w:val="24"/>
          <w:szCs w:val="24"/>
        </w:rPr>
        <w:t xml:space="preserve"> Complementarietà con altri programmi e sinergie con il PR FESR</w:t>
      </w:r>
    </w:p>
    <w:tbl>
      <w:tblPr>
        <w:tblW w:w="9200" w:type="dxa"/>
        <w:jc w:val="start"/>
        <w:tblInd w:w="0" w:type="dxa"/>
        <w:tblLayout w:type="fixed"/>
        <w:tblCellMar>
          <w:top w:w="60" w:type="dxa"/>
          <w:start w:w="160" w:type="dxa"/>
          <w:bottom w:w="40" w:type="dxa"/>
          <w:end w:w="160" w:type="dxa"/>
        </w:tblCellMar>
      </w:tblPr>
      <w:tblGrid>
        <w:gridCol w:w="9200"/>
      </w:tblGrid>
      <w:tr>
        <w:trPr/>
        <w:tc>
          <w:tcPr>
            <w:tcW w:w="9200" w:type="dxa"/>
            <w:tcBorders/>
            <w:shd w:fill="FCE4D6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C55A11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C55A11"/>
                <w:sz w:val="24"/>
                <w:szCs w:val="24"/>
              </w:rPr>
              <w:t xml:space="preserve">Indicazioni per la compilazione — </w:t>
            </w:r>
            <w:r>
              <w:rPr>
                <w:rFonts w:eastAsia="Arial" w:cs="Arial" w:ascii="Arial" w:hAnsi="Arial"/>
                <w:b/>
                <w:bCs/>
                <w:color w:val="C55A11"/>
                <w:sz w:val="24"/>
                <w:szCs w:val="24"/>
              </w:rPr>
              <w:t>Allegato 15 “Griglia dei criteri di valutazione”, punt</w:t>
            </w:r>
            <w:r>
              <w:rPr>
                <w:rFonts w:eastAsia="Arial" w:cs="Arial" w:ascii="Arial" w:hAnsi="Arial"/>
                <w:b/>
                <w:bCs/>
                <w:color w:val="C55A11"/>
                <w:sz w:val="24"/>
                <w:szCs w:val="24"/>
              </w:rPr>
              <w:t xml:space="preserve">i 2 e 3 </w:t>
            </w:r>
          </w:p>
        </w:tc>
      </w:tr>
      <w:tr>
        <w:trPr/>
        <w:tc>
          <w:tcPr>
            <w:tcW w:w="9200" w:type="dxa"/>
            <w:tcBorders/>
            <w:shd w:fill="FCE4D6" w:val="clear"/>
            <w:tcMar>
              <w:top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rFonts w:eastAsia="Arial" w:cs="Arial" w:ascii="Arial" w:hAnsi="Arial"/>
                <w:i/>
                <w:iCs/>
                <w:color w:val="843C0C"/>
                <w:sz w:val="24"/>
                <w:szCs w:val="24"/>
              </w:rPr>
              <w:t>Indicare se l'intervento si raccorda o completa interventi già finanziati con risorse PNRR, FEASR, MIT</w:t>
            </w:r>
            <w:r>
              <w:rPr>
                <w:i/>
                <w:iCs/>
                <w:color w:val="843C0C"/>
                <w:sz w:val="24"/>
                <w:szCs w:val="24"/>
              </w:rPr>
              <w:t xml:space="preserve">, MASE </w:t>
            </w:r>
            <w:r>
              <w:rPr>
                <w:rFonts w:eastAsia="Arial" w:cs="Arial" w:ascii="Arial" w:hAnsi="Arial"/>
                <w:i/>
                <w:iCs/>
                <w:color w:val="843C0C"/>
                <w:sz w:val="24"/>
                <w:szCs w:val="24"/>
              </w:rPr>
              <w:t>o altri programmi. Fornire gli estremi degli atti di finanziamento.</w:t>
            </w:r>
          </w:p>
        </w:tc>
      </w:tr>
      <w:tr>
        <w:trPr/>
        <w:tc>
          <w:tcPr>
            <w:tcW w:w="9200" w:type="dxa"/>
            <w:tcBorders/>
            <w:shd w:fill="FCE4D6" w:val="clear"/>
            <w:tcMar>
              <w:top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i/>
                <w:i/>
                <w:iCs/>
                <w:color w:val="843C0C"/>
                <w:sz w:val="24"/>
                <w:szCs w:val="24"/>
              </w:rPr>
            </w:pPr>
            <w:r>
              <w:rPr>
                <w:rFonts w:eastAsia="Arial" w:cs="Arial" w:ascii="Arial" w:hAnsi="Arial"/>
                <w:i/>
                <w:iCs/>
                <w:color w:val="843C0C"/>
                <w:sz w:val="24"/>
                <w:szCs w:val="24"/>
              </w:rPr>
              <w:t>Descrivere le sinergie attivate con altre Misure del PR FESR 2021-2027 (es. Azione I.1, Azione II.3, Strategia Urbana d'Area). Indicare se il Comune è coinvolto in una Strategia Urbana d'Area (SUA) pertinente all'intervento.</w:t>
            </w:r>
          </w:p>
        </w:tc>
      </w:tr>
      <w:tr>
        <w:trPr/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shd w:fill="DEEAF1" w:val="clear"/>
            <w:tcMar>
              <w:start w:w="120" w:type="dxa"/>
              <w:bottom w:w="60" w:type="dxa"/>
              <w:end w:w="1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1F4E79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>Complementarietà con altri programmi di finanziamento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start w:w="120" w:type="dxa"/>
              <w:end w:w="1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start w:w="120" w:type="dxa"/>
              <w:end w:w="1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</w:tbl>
    <w:p>
      <w:pPr>
        <w:pStyle w:val="Normal"/>
        <w:bidi w:val="0"/>
        <w:spacing w:lineRule="auto" w:line="240" w:before="60" w:after="80"/>
        <w:jc w:val="start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200" w:type="dxa"/>
        <w:jc w:val="start"/>
        <w:tblInd w:w="-5" w:type="dxa"/>
        <w:tblLayout w:type="fixed"/>
        <w:tblCellMar>
          <w:top w:w="60" w:type="dxa"/>
          <w:start w:w="120" w:type="dxa"/>
          <w:bottom w:w="60" w:type="dxa"/>
          <w:end w:w="120" w:type="dxa"/>
        </w:tblCellMar>
      </w:tblPr>
      <w:tblGrid>
        <w:gridCol w:w="9200"/>
      </w:tblGrid>
      <w:tr>
        <w:trPr/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shd w:fill="DEEAF1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1F4E79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 xml:space="preserve">Sinergie con altre Azioni del PR FESR 2021-2027 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</w:tbl>
    <w:p>
      <w:pPr>
        <w:pStyle w:val="Heading2"/>
        <w:spacing w:lineRule="auto" w:line="240" w:before="280" w:after="120"/>
        <w:rPr>
          <w:rFonts w:ascii="Arial" w:hAnsi="Arial" w:eastAsia="Arial" w:cs="Arial"/>
          <w:b/>
          <w:bCs/>
          <w:color w:val="2E75B6"/>
          <w:sz w:val="24"/>
          <w:szCs w:val="24"/>
        </w:rPr>
      </w:pPr>
      <w:r>
        <w:rPr>
          <w:rFonts w:eastAsia="Arial" w:cs="Arial"/>
          <w:b/>
          <w:bCs/>
          <w:color w:val="2E75B6"/>
          <w:sz w:val="24"/>
          <w:szCs w:val="24"/>
        </w:rPr>
      </w:r>
    </w:p>
    <w:p>
      <w:pPr>
        <w:pStyle w:val="Heading2"/>
        <w:spacing w:lineRule="auto" w:line="240" w:before="280" w:after="120"/>
        <w:rPr>
          <w:sz w:val="24"/>
          <w:szCs w:val="24"/>
        </w:rPr>
      </w:pPr>
      <w:r>
        <w:rPr>
          <w:rFonts w:eastAsia="Arial" w:cs="Arial"/>
          <w:b/>
          <w:bCs/>
          <w:color w:val="2E75B6"/>
          <w:sz w:val="24"/>
          <w:szCs w:val="24"/>
        </w:rPr>
        <w:t>2.</w:t>
      </w:r>
      <w:r>
        <w:rPr>
          <w:sz w:val="24"/>
          <w:szCs w:val="24"/>
        </w:rPr>
        <w:t>5</w:t>
      </w:r>
      <w:r>
        <w:rPr>
          <w:rFonts w:eastAsia="Arial" w:cs="Arial"/>
          <w:b/>
          <w:bCs/>
          <w:color w:val="2E75B6"/>
          <w:sz w:val="24"/>
          <w:szCs w:val="24"/>
        </w:rPr>
        <w:t xml:space="preserve"> Progettazione partecipata e coinvolgimento dei portatori di interesse</w:t>
      </w:r>
    </w:p>
    <w:tbl>
      <w:tblPr>
        <w:tblW w:w="9200" w:type="dxa"/>
        <w:jc w:val="start"/>
        <w:tblInd w:w="0" w:type="dxa"/>
        <w:tblLayout w:type="fixed"/>
        <w:tblCellMar>
          <w:top w:w="60" w:type="dxa"/>
          <w:start w:w="160" w:type="dxa"/>
          <w:bottom w:w="40" w:type="dxa"/>
          <w:end w:w="160" w:type="dxa"/>
        </w:tblCellMar>
      </w:tblPr>
      <w:tblGrid>
        <w:gridCol w:w="9200"/>
      </w:tblGrid>
      <w:tr>
        <w:trPr/>
        <w:tc>
          <w:tcPr>
            <w:tcW w:w="9200" w:type="dxa"/>
            <w:tcBorders/>
            <w:shd w:fill="FCE4D6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C55A11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C55A11"/>
                <w:sz w:val="24"/>
                <w:szCs w:val="24"/>
              </w:rPr>
              <w:t xml:space="preserve">Indicazioni per la compilazione – </w:t>
            </w:r>
            <w:r>
              <w:rPr>
                <w:rFonts w:eastAsia="Arial" w:cs="Arial" w:ascii="Arial" w:hAnsi="Arial"/>
                <w:b/>
                <w:bCs/>
                <w:color w:val="C55A11"/>
                <w:sz w:val="24"/>
                <w:szCs w:val="24"/>
              </w:rPr>
              <w:t>Allegato 15 “Griglia dei criteri di valutazione”, punto</w:t>
            </w:r>
            <w:r>
              <w:rPr>
                <w:rFonts w:eastAsia="Arial" w:cs="Arial" w:ascii="Arial" w:hAnsi="Arial"/>
                <w:b/>
                <w:bCs/>
                <w:color w:val="C55A11"/>
                <w:sz w:val="24"/>
                <w:szCs w:val="24"/>
              </w:rPr>
              <w:t xml:space="preserve"> 6 </w:t>
            </w:r>
          </w:p>
        </w:tc>
      </w:tr>
      <w:tr>
        <w:trPr/>
        <w:tc>
          <w:tcPr>
            <w:tcW w:w="9200" w:type="dxa"/>
            <w:tcBorders/>
            <w:shd w:fill="FCE4D6" w:val="clear"/>
            <w:tcMar>
              <w:top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rFonts w:eastAsia="Arial" w:cs="Arial" w:ascii="Arial" w:hAnsi="Arial"/>
                <w:i/>
                <w:iCs/>
                <w:color w:val="843C0C"/>
                <w:sz w:val="24"/>
                <w:szCs w:val="24"/>
              </w:rPr>
              <w:t xml:space="preserve">Descrivere il piano di progettazione partecipata allegato alla domanda (Allegato </w:t>
            </w:r>
            <w:r>
              <w:rPr>
                <w:i/>
                <w:iCs/>
                <w:color w:val="843C0C"/>
                <w:sz w:val="24"/>
                <w:szCs w:val="24"/>
              </w:rPr>
              <w:t>10</w:t>
            </w:r>
            <w:r>
              <w:rPr>
                <w:rFonts w:eastAsia="Arial" w:cs="Arial" w:ascii="Arial" w:hAnsi="Arial"/>
                <w:i/>
                <w:iCs/>
                <w:color w:val="843C0C"/>
                <w:sz w:val="24"/>
                <w:szCs w:val="24"/>
              </w:rPr>
              <w:t xml:space="preserve"> del Bando). Indicare: i soggetti coinvolti, le modalità di partecipazione adottate o previste, le fasi del processo e l'impatto delle risultanze partecipative sulle scelte progettuali.</w:t>
            </w:r>
          </w:p>
        </w:tc>
      </w:tr>
      <w:tr>
        <w:trPr/>
        <w:tc>
          <w:tcPr>
            <w:tcW w:w="9200" w:type="dxa"/>
            <w:tcBorders/>
            <w:shd w:fill="FCE4D6" w:val="clear"/>
            <w:tcMar>
              <w:top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i/>
                <w:i/>
                <w:iCs/>
                <w:color w:val="843C0C"/>
                <w:sz w:val="24"/>
                <w:szCs w:val="24"/>
              </w:rPr>
            </w:pPr>
            <w:r>
              <w:rPr>
                <w:rFonts w:eastAsia="Arial" w:cs="Arial" w:ascii="Arial" w:hAnsi="Arial"/>
                <w:i/>
                <w:iCs/>
                <w:color w:val="843C0C"/>
                <w:sz w:val="24"/>
                <w:szCs w:val="24"/>
              </w:rPr>
              <w:t>Specificare se il processo ha coinvolto o coinvolgerà categorie vulnerabili (bambini, anziani, persone con disabilità, residenti di quartieri svantaggiati).</w:t>
            </w:r>
          </w:p>
        </w:tc>
      </w:tr>
      <w:tr>
        <w:trPr/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shd w:fill="DEEAF1" w:val="clear"/>
            <w:tcMar>
              <w:start w:w="120" w:type="dxa"/>
              <w:bottom w:w="60" w:type="dxa"/>
              <w:end w:w="1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1F4E79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>Piano di progettazione partecipata — sintesi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start w:w="120" w:type="dxa"/>
              <w:end w:w="1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start w:w="120" w:type="dxa"/>
              <w:end w:w="1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start w:w="120" w:type="dxa"/>
              <w:end w:w="1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start w:w="120" w:type="dxa"/>
              <w:end w:w="1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</w:tbl>
    <w:p>
      <w:pPr>
        <w:pStyle w:val="Heading2"/>
        <w:spacing w:lineRule="auto" w:line="240" w:before="280" w:after="120"/>
        <w:rPr>
          <w:rFonts w:ascii="Arial" w:hAnsi="Arial" w:eastAsia="Arial" w:cs="Arial"/>
          <w:b/>
          <w:bCs/>
          <w:color w:val="2E75B6"/>
          <w:sz w:val="24"/>
          <w:szCs w:val="24"/>
        </w:rPr>
      </w:pPr>
      <w:r>
        <w:rPr>
          <w:rFonts w:eastAsia="Arial" w:cs="Arial"/>
          <w:b/>
          <w:bCs/>
          <w:color w:val="2E75B6"/>
          <w:sz w:val="24"/>
          <w:szCs w:val="24"/>
        </w:rPr>
      </w:r>
    </w:p>
    <w:p>
      <w:pPr>
        <w:pStyle w:val="Heading2"/>
        <w:spacing w:lineRule="auto" w:line="240" w:before="280" w:after="120"/>
        <w:rPr>
          <w:sz w:val="24"/>
          <w:szCs w:val="24"/>
        </w:rPr>
      </w:pPr>
      <w:r>
        <w:rPr>
          <w:rFonts w:eastAsia="Arial" w:cs="Arial"/>
          <w:b/>
          <w:bCs/>
          <w:color w:val="2E75B6"/>
          <w:sz w:val="24"/>
          <w:szCs w:val="24"/>
        </w:rPr>
        <w:t>2.</w:t>
      </w:r>
      <w:r>
        <w:rPr>
          <w:sz w:val="24"/>
          <w:szCs w:val="24"/>
        </w:rPr>
        <w:t>6</w:t>
      </w:r>
      <w:r>
        <w:rPr>
          <w:rFonts w:eastAsia="Arial" w:cs="Arial"/>
          <w:b/>
          <w:bCs/>
          <w:color w:val="2E75B6"/>
          <w:sz w:val="24"/>
          <w:szCs w:val="24"/>
        </w:rPr>
        <w:t xml:space="preserve"> Nature Based Solutions, tecnologie innovative e rispetto dei CAM</w:t>
      </w:r>
    </w:p>
    <w:tbl>
      <w:tblPr>
        <w:tblW w:w="9200" w:type="dxa"/>
        <w:jc w:val="start"/>
        <w:tblInd w:w="0" w:type="dxa"/>
        <w:tblLayout w:type="fixed"/>
        <w:tblCellMar>
          <w:top w:w="60" w:type="dxa"/>
          <w:start w:w="160" w:type="dxa"/>
          <w:bottom w:w="40" w:type="dxa"/>
          <w:end w:w="160" w:type="dxa"/>
        </w:tblCellMar>
      </w:tblPr>
      <w:tblGrid>
        <w:gridCol w:w="9200"/>
      </w:tblGrid>
      <w:tr>
        <w:trPr/>
        <w:tc>
          <w:tcPr>
            <w:tcW w:w="9200" w:type="dxa"/>
            <w:tcBorders/>
            <w:shd w:fill="FCE4D6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C55A11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C55A11"/>
                <w:sz w:val="24"/>
                <w:szCs w:val="24"/>
              </w:rPr>
              <w:t xml:space="preserve">Indicazioni per la compilazione — </w:t>
            </w:r>
            <w:r>
              <w:rPr>
                <w:rFonts w:eastAsia="Arial" w:cs="Arial" w:ascii="Arial" w:hAnsi="Arial"/>
                <w:b/>
                <w:bCs/>
                <w:color w:val="C55A11"/>
                <w:sz w:val="24"/>
                <w:szCs w:val="24"/>
              </w:rPr>
              <w:t>Allegato 15 “Griglia dei criteri di valutazione”, punto</w:t>
            </w:r>
            <w:r>
              <w:rPr>
                <w:rFonts w:eastAsia="Arial" w:cs="Arial" w:ascii="Arial" w:hAnsi="Arial"/>
                <w:b/>
                <w:bCs/>
                <w:color w:val="C55A11"/>
                <w:sz w:val="24"/>
                <w:szCs w:val="24"/>
              </w:rPr>
              <w:t xml:space="preserve"> 7 </w:t>
            </w:r>
          </w:p>
        </w:tc>
      </w:tr>
      <w:tr>
        <w:trPr>
          <w:trHeight w:val="834" w:hRule="atLeast"/>
        </w:trPr>
        <w:tc>
          <w:tcPr>
            <w:tcW w:w="9200" w:type="dxa"/>
            <w:tcBorders/>
            <w:shd w:fill="FCE4D6" w:val="clear"/>
            <w:tcMar>
              <w:top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i/>
                <w:i/>
                <w:iCs/>
                <w:color w:val="843C0C"/>
                <w:sz w:val="24"/>
                <w:szCs w:val="24"/>
              </w:rPr>
            </w:pPr>
            <w:r>
              <w:rPr>
                <w:rFonts w:eastAsia="Arial" w:cs="Arial" w:ascii="Arial" w:hAnsi="Arial"/>
                <w:i/>
                <w:iCs/>
                <w:color w:val="843C0C"/>
                <w:sz w:val="24"/>
                <w:szCs w:val="24"/>
              </w:rPr>
              <w:t xml:space="preserve">Descrivere le NBS e le opere di de-impermeabilizzazione previste: tipologia, superficie de-impermeabilizzata, essenze vegetali selezionate (escludere specie esotiche invasive ex DGR 1-5738 </w:t>
            </w:r>
            <w:r>
              <w:rPr>
                <w:rFonts w:eastAsia="Arial" w:cs="Arial" w:ascii="Arial" w:hAnsi="Arial"/>
                <w:i/>
                <w:iCs/>
                <w:color w:val="843C0C"/>
                <w:sz w:val="24"/>
                <w:szCs w:val="24"/>
              </w:rPr>
              <w:t xml:space="preserve">del 7 ottobre </w:t>
            </w:r>
            <w:r>
              <w:rPr>
                <w:rFonts w:eastAsia="Arial" w:cs="Arial" w:ascii="Arial" w:hAnsi="Arial"/>
                <w:i/>
                <w:iCs/>
                <w:color w:val="843C0C"/>
                <w:sz w:val="24"/>
                <w:szCs w:val="24"/>
              </w:rPr>
              <w:t xml:space="preserve">2022 </w:t>
            </w:r>
            <w:r>
              <w:rPr>
                <w:rFonts w:eastAsia="Arial" w:cs="Arial" w:ascii="Arial" w:hAnsi="Arial"/>
                <w:i/>
                <w:iCs/>
                <w:color w:val="843C0C"/>
                <w:sz w:val="24"/>
                <w:szCs w:val="24"/>
              </w:rPr>
              <w:t>e successive integrazioni</w:t>
            </w:r>
            <w:r>
              <w:rPr>
                <w:rFonts w:eastAsia="Arial" w:cs="Arial" w:ascii="Arial" w:hAnsi="Arial"/>
                <w:i/>
                <w:iCs/>
                <w:color w:val="843C0C"/>
                <w:sz w:val="24"/>
                <w:szCs w:val="24"/>
              </w:rPr>
              <w:t>).</w:t>
            </w:r>
          </w:p>
        </w:tc>
      </w:tr>
      <w:tr>
        <w:trPr/>
        <w:tc>
          <w:tcPr>
            <w:tcW w:w="9200" w:type="dxa"/>
            <w:tcBorders/>
            <w:shd w:fill="FCE4D6" w:val="clear"/>
            <w:tcMar>
              <w:top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i/>
                <w:i/>
                <w:iCs/>
                <w:color w:val="843C0C"/>
                <w:sz w:val="24"/>
                <w:szCs w:val="24"/>
              </w:rPr>
            </w:pPr>
            <w:r>
              <w:rPr>
                <w:rFonts w:eastAsia="Arial" w:cs="Arial" w:ascii="Arial" w:hAnsi="Arial"/>
                <w:i/>
                <w:iCs/>
                <w:color w:val="843C0C"/>
                <w:sz w:val="24"/>
                <w:szCs w:val="24"/>
              </w:rPr>
              <w:t>Descrivere l'eventuale utilizzo di tecnologie innovative per la riduzione localizzata degli inquinanti (materiali fotocatalitici, sistemi di captazione polveri, nebulizzazione) specificandone la localizzazione rispetto ai recettori sensibili.</w:t>
            </w:r>
          </w:p>
        </w:tc>
      </w:tr>
      <w:tr>
        <w:trPr/>
        <w:tc>
          <w:tcPr>
            <w:tcW w:w="9200" w:type="dxa"/>
            <w:tcBorders/>
            <w:shd w:fill="FCE4D6" w:val="clear"/>
            <w:tcMar>
              <w:top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i/>
                <w:i/>
                <w:iCs/>
                <w:color w:val="843C0C"/>
                <w:sz w:val="24"/>
                <w:szCs w:val="24"/>
              </w:rPr>
            </w:pPr>
            <w:r>
              <w:rPr>
                <w:rFonts w:eastAsia="Arial" w:cs="Arial" w:ascii="Arial" w:hAnsi="Arial"/>
                <w:i/>
                <w:iCs/>
                <w:color w:val="843C0C"/>
                <w:sz w:val="24"/>
                <w:szCs w:val="24"/>
              </w:rPr>
              <w:t>Indicare come vengono rispettati e/o superati i Criteri Ambientali Minimi (CAM) applicabili alle categorie di lavori previste.</w:t>
            </w:r>
          </w:p>
        </w:tc>
      </w:tr>
      <w:tr>
        <w:trPr/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shd w:fill="DEEAF1" w:val="clear"/>
            <w:tcMar>
              <w:start w:w="120" w:type="dxa"/>
              <w:bottom w:w="60" w:type="dxa"/>
              <w:end w:w="1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1F4E79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>NBS, de-impermeabilizzazione e infrastrutture verdi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start w:w="120" w:type="dxa"/>
              <w:end w:w="1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start w:w="120" w:type="dxa"/>
              <w:end w:w="1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</w:tbl>
    <w:p>
      <w:pPr>
        <w:pStyle w:val="Normal"/>
        <w:bidi w:val="0"/>
        <w:spacing w:lineRule="auto" w:line="240" w:before="60" w:after="80"/>
        <w:jc w:val="start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200" w:type="dxa"/>
        <w:jc w:val="start"/>
        <w:tblInd w:w="-5" w:type="dxa"/>
        <w:tblLayout w:type="fixed"/>
        <w:tblCellMar>
          <w:top w:w="60" w:type="dxa"/>
          <w:start w:w="120" w:type="dxa"/>
          <w:bottom w:w="60" w:type="dxa"/>
          <w:end w:w="120" w:type="dxa"/>
        </w:tblCellMar>
      </w:tblPr>
      <w:tblGrid>
        <w:gridCol w:w="9200"/>
      </w:tblGrid>
      <w:tr>
        <w:trPr/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shd w:fill="DEEAF1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1F4E79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>Tecnologie innovative per la riduzione degli inquinanti (se presenti)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</w:tbl>
    <w:p>
      <w:pPr>
        <w:pStyle w:val="Normal"/>
        <w:bidi w:val="0"/>
        <w:spacing w:lineRule="auto" w:line="240" w:before="60" w:after="80"/>
        <w:jc w:val="start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200" w:type="dxa"/>
        <w:jc w:val="start"/>
        <w:tblInd w:w="-5" w:type="dxa"/>
        <w:tblLayout w:type="fixed"/>
        <w:tblCellMar>
          <w:top w:w="60" w:type="dxa"/>
          <w:start w:w="120" w:type="dxa"/>
          <w:bottom w:w="60" w:type="dxa"/>
          <w:end w:w="120" w:type="dxa"/>
        </w:tblCellMar>
      </w:tblPr>
      <w:tblGrid>
        <w:gridCol w:w="9200"/>
      </w:tblGrid>
      <w:tr>
        <w:trPr/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shd w:fill="DEEAF1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1F4E79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>Rispetto e superamento dei CAM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</w:tbl>
    <w:p>
      <w:pPr>
        <w:pStyle w:val="Normal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1"/>
        <w:pBdr>
          <w:bottom w:val="single" w:sz="8" w:space="2" w:color="1F4E79"/>
        </w:pBdr>
        <w:spacing w:lineRule="auto" w:line="240" w:before="400" w:after="160"/>
        <w:rPr>
          <w:rFonts w:ascii="Arial" w:hAnsi="Arial" w:eastAsia="Arial" w:cs="Arial"/>
          <w:b/>
          <w:bCs/>
          <w:color w:val="1F4E79"/>
          <w:sz w:val="24"/>
          <w:szCs w:val="24"/>
        </w:rPr>
      </w:pPr>
      <w:r>
        <w:rPr>
          <w:rFonts w:eastAsia="Arial" w:cs="Arial"/>
          <w:b/>
          <w:bCs/>
          <w:color w:val="1F4E79"/>
          <w:sz w:val="24"/>
          <w:szCs w:val="24"/>
        </w:rPr>
        <w:t>3. Quadro economico</w:t>
      </w:r>
    </w:p>
    <w:p>
      <w:pPr>
        <w:pStyle w:val="Normal"/>
        <w:bidi w:val="0"/>
        <w:spacing w:lineRule="auto" w:line="240" w:before="40" w:after="60"/>
        <w:ind w:hanging="0" w:start="0" w:end="0"/>
        <w:jc w:val="both"/>
        <w:rPr>
          <w:rFonts w:ascii="Arial" w:hAnsi="Arial" w:eastAsia="Arial" w:cs="Arial"/>
          <w:i/>
          <w:i/>
          <w:iCs/>
          <w:color w:val="666666"/>
          <w:sz w:val="24"/>
          <w:szCs w:val="24"/>
        </w:rPr>
      </w:pPr>
      <w:r>
        <w:rPr>
          <w:rFonts w:eastAsia="Arial" w:cs="Arial" w:ascii="Arial" w:hAnsi="Arial"/>
          <w:i/>
          <w:iCs/>
          <w:color w:val="666666"/>
          <w:sz w:val="24"/>
          <w:szCs w:val="24"/>
        </w:rPr>
        <w:t>I costi devono essere determinati sulla base del Prezzario di riferimento per opere e lavori pubblici della Regione Piemonte in vigore alla data di presentazione della domanda. Per le lavorazioni non incluse nel prezzario, il costo è determinato mediante analisi prezzi. Tutti gli importi sono da intendersi al lordo dell'IVA.</w:t>
      </w:r>
    </w:p>
    <w:p>
      <w:pPr>
        <w:pStyle w:val="Normal"/>
        <w:bidi w:val="0"/>
        <w:spacing w:lineRule="auto" w:line="240" w:before="60" w:after="80"/>
        <w:jc w:val="start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196" w:type="dxa"/>
        <w:jc w:val="start"/>
        <w:tblInd w:w="-5" w:type="dxa"/>
        <w:tblLayout w:type="fixed"/>
        <w:tblCellMar>
          <w:top w:w="60" w:type="dxa"/>
          <w:start w:w="100" w:type="dxa"/>
          <w:bottom w:w="60" w:type="dxa"/>
          <w:end w:w="100" w:type="dxa"/>
        </w:tblCellMar>
      </w:tblPr>
      <w:tblGrid>
        <w:gridCol w:w="3958"/>
        <w:gridCol w:w="565"/>
        <w:gridCol w:w="2042"/>
        <w:gridCol w:w="1604"/>
        <w:gridCol w:w="1027"/>
      </w:tblGrid>
      <w:tr>
        <w:trPr/>
        <w:tc>
          <w:tcPr>
            <w:tcW w:w="3958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Voce di spesa</w:t>
            </w:r>
          </w:p>
        </w:tc>
        <w:tc>
          <w:tcPr>
            <w:tcW w:w="565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Cat.</w:t>
            </w:r>
          </w:p>
        </w:tc>
        <w:tc>
          <w:tcPr>
            <w:tcW w:w="2042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Importo lordo (€)</w:t>
            </w:r>
          </w:p>
        </w:tc>
        <w:tc>
          <w:tcPr>
            <w:tcW w:w="1604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di cui IVA (€)</w:t>
            </w:r>
          </w:p>
        </w:tc>
        <w:tc>
          <w:tcPr>
            <w:tcW w:w="1027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Note</w:t>
            </w:r>
          </w:p>
        </w:tc>
      </w:tr>
      <w:tr>
        <w:trPr/>
        <w:tc>
          <w:tcPr>
            <w:tcW w:w="3958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A) </w:t>
            </w:r>
            <w:bookmarkStart w:id="4" w:name="docs-internal-guid-7dcb61eb-7fff-336b-1d"/>
            <w:bookmarkEnd w:id="4"/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IMPORTO LAVORI e ACQUISIZIONE FORNITURE,</w:t>
            </w:r>
          </w:p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dato dalla sommatoria di A1 e A2 sotto specificati:</w:t>
            </w:r>
            <w:r>
              <w:rPr>
                <w:sz w:val="24"/>
                <w:szCs w:val="24"/>
              </w:rPr>
              <w:br/>
            </w: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(par. 2.2 del Bando)</w:t>
            </w:r>
          </w:p>
        </w:tc>
        <w:tc>
          <w:tcPr>
            <w:tcW w:w="565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A</w:t>
            </w:r>
          </w:p>
        </w:tc>
        <w:tc>
          <w:tcPr>
            <w:tcW w:w="2042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27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58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7FBFF" w:val="clear"/>
            <w:tcMar>
              <w:top w:w="50" w:type="dxa"/>
              <w:bottom w:w="50" w:type="dxa"/>
            </w:tcMar>
          </w:tcPr>
          <w:p>
            <w:pPr>
              <w:pStyle w:val="BodyText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bookmarkStart w:id="5" w:name="docs-internal-guid-9ba6270b-7fff-e88b-50"/>
            <w:bookmarkEnd w:id="5"/>
            <w:r>
              <w:rPr>
                <w:rFonts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  <w:t xml:space="preserve">A1 - Spese per la realizzazione degli interventi previsti dalle lettere dalla </w:t>
            </w:r>
            <w:r>
              <w:rPr>
                <w:rFonts w:ascii="Arial" w:hAnsi="Arial"/>
                <w:b w:val="false"/>
                <w:i w:val="false"/>
                <w:caps w:val="false"/>
                <w:smallCaps w:val="false"/>
                <w:color w:val="000000"/>
                <w:sz w:val="24"/>
                <w:szCs w:val="24"/>
                <w:u w:val="single"/>
                <w:shd w:fill="auto" w:val="clear"/>
              </w:rPr>
              <w:t>A alla G</w:t>
            </w:r>
            <w:r>
              <w:rPr>
                <w:rFonts w:ascii="Arial" w:hAnsi="Arial"/>
                <w:b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  <w:t xml:space="preserve"> </w:t>
            </w:r>
            <w:r>
              <w:rPr>
                <w:rFonts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  <w:t xml:space="preserve">del par. 2.2  del bando. Oneri per la messa in sicurezza del cantiere e alla tutela della sicurezza e salute degli operatori, nella misura valutata dal progettista incaricato, connessi alla realizzazione degli interventi previsti dalle lettere dalla </w:t>
            </w:r>
            <w:r>
              <w:rPr>
                <w:rFonts w:ascii="Arial" w:hAnsi="Arial"/>
                <w:b w:val="false"/>
                <w:i w:val="false"/>
                <w:caps w:val="false"/>
                <w:smallCaps w:val="false"/>
                <w:color w:val="000000"/>
                <w:sz w:val="24"/>
                <w:szCs w:val="24"/>
                <w:u w:val="single"/>
                <w:shd w:fill="auto" w:val="clear"/>
              </w:rPr>
              <w:t>A alla G</w:t>
            </w:r>
            <w:r>
              <w:rPr>
                <w:rFonts w:ascii="Arial" w:hAnsi="Arial"/>
                <w:b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  <w:t xml:space="preserve"> </w:t>
            </w:r>
            <w:r>
              <w:rPr>
                <w:rFonts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  <w:t>del par. 2.2  del bando .</w:t>
            </w:r>
          </w:p>
        </w:tc>
        <w:tc>
          <w:tcPr>
            <w:tcW w:w="565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7FB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A1</w:t>
            </w:r>
          </w:p>
        </w:tc>
        <w:tc>
          <w:tcPr>
            <w:tcW w:w="2042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7FB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7FB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27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7FB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58" w:type="dxa"/>
            <w:tcBorders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7FBFF" w:val="clear"/>
            <w:tcMar>
              <w:top w:w="50" w:type="dxa"/>
              <w:bottom w:w="50" w:type="dxa"/>
            </w:tcMar>
          </w:tcPr>
          <w:p>
            <w:pPr>
              <w:pStyle w:val="BodyText"/>
              <w:bidi w:val="0"/>
              <w:spacing w:lineRule="auto" w:line="240" w:before="60" w:after="80"/>
              <w:jc w:val="start"/>
              <w:rPr>
                <w:rFonts w:ascii="Arial" w:hAnsi="Arial"/>
                <w:b w:val="false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 w:val="false"/>
                <w:color w:val="000000"/>
                <w:sz w:val="24"/>
                <w:szCs w:val="24"/>
              </w:rPr>
              <w:t xml:space="preserve"> </w:t>
            </w:r>
            <w:bookmarkStart w:id="6" w:name="docs-internal-guid-217f34b7-7fff-d9cf-ef"/>
            <w:bookmarkEnd w:id="6"/>
            <w:r>
              <w:rPr>
                <w:rFonts w:ascii="Arial" w:hAnsi="Arial"/>
                <w:b w:val="false"/>
                <w:color w:val="000000"/>
                <w:sz w:val="24"/>
                <w:szCs w:val="24"/>
              </w:rPr>
              <w:t>A2 - Spese per la realizzazione degli interventi previsti alle lettere H e I del par. 2.2 del bando (interventi “a corredo e completamento”). Oneri per la messa in sicurezza del cantiere e alla tutela della sicurezza e salute degli operatori, nella misura valutata dal progettista incaricato, connessi alla realizzazione degli interventi previsti dalle lettere H e I del par. 2.2 del bando.</w:t>
            </w:r>
          </w:p>
        </w:tc>
        <w:tc>
          <w:tcPr>
            <w:tcW w:w="565" w:type="dxa"/>
            <w:tcBorders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7FB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A2</w:t>
            </w:r>
          </w:p>
        </w:tc>
        <w:tc>
          <w:tcPr>
            <w:tcW w:w="2042" w:type="dxa"/>
            <w:tcBorders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7FB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04" w:type="dxa"/>
            <w:tcBorders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7FB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27" w:type="dxa"/>
            <w:tcBorders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7FB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58" w:type="dxa"/>
            <w:tcBorders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7FB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bookmarkStart w:id="7" w:name="docs-internal-guid-b1fac22c-7fff-b840-61"/>
            <w:bookmarkEnd w:id="7"/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B)  SOMME A DISPOSIZIONE DELL’ENTE, date dalla sommatoria dei seguenti importi:</w:t>
            </w:r>
          </w:p>
        </w:tc>
        <w:tc>
          <w:tcPr>
            <w:tcW w:w="565" w:type="dxa"/>
            <w:tcBorders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7FB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B</w:t>
            </w:r>
          </w:p>
        </w:tc>
        <w:tc>
          <w:tcPr>
            <w:tcW w:w="2042" w:type="dxa"/>
            <w:tcBorders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7FB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04" w:type="dxa"/>
            <w:tcBorders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7FB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27" w:type="dxa"/>
            <w:tcBorders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7FB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58" w:type="dxa"/>
            <w:tcBorders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7FBFF" w:val="clear"/>
            <w:tcMar>
              <w:top w:w="50" w:type="dxa"/>
              <w:bottom w:w="50" w:type="dxa"/>
            </w:tcMar>
          </w:tcPr>
          <w:p>
            <w:pPr>
              <w:pStyle w:val="BodyText"/>
              <w:bidi w:val="0"/>
              <w:spacing w:lineRule="auto" w:line="240" w:before="60" w:after="80"/>
              <w:jc w:val="start"/>
              <w:rPr>
                <w:rFonts w:ascii="Arial" w:hAnsi="Arial"/>
                <w:b w:val="false"/>
                <w:color w:val="000000"/>
                <w:sz w:val="24"/>
                <w:szCs w:val="24"/>
              </w:rPr>
            </w:pPr>
            <w:bookmarkStart w:id="8" w:name="docs-internal-guid-47d3b023-7fff-c39d-d2"/>
            <w:bookmarkEnd w:id="8"/>
            <w:r>
              <w:rPr>
                <w:rFonts w:ascii="Arial" w:hAnsi="Arial"/>
                <w:b w:val="false"/>
                <w:color w:val="000000"/>
                <w:sz w:val="24"/>
                <w:szCs w:val="24"/>
              </w:rPr>
              <w:t xml:space="preserve">B1 - Spese tecniche per progettazione, direzione lavori, consulenze per indagini specialistiche, studi di fattibilità, coordinamento e gestione della sicurezza, spese per indagini e studi tecnici omnicomprensivi di iva e oneri accessori. Corrispettivi per il ricorso a centrali di committenza qualificate ed a stazioni appaltanti qualificate. Studi/accertamenti/indagini propedeutici e funzionali alla progettazione nei differenti livelli previsti dal codice degli appalti con riferimento alle analisi di efficacia in termini di qualità dell’aria e di riduzione di gas serra. </w:t>
            </w:r>
          </w:p>
          <w:p>
            <w:pPr>
              <w:pStyle w:val="BodyText"/>
              <w:bidi w:val="0"/>
              <w:spacing w:lineRule="auto" w:line="240" w:before="60" w:after="80"/>
              <w:jc w:val="start"/>
              <w:rPr>
                <w:rFonts w:ascii="Arial" w:hAnsi="Arial"/>
                <w:b w:val="false"/>
                <w:color w:val="000000"/>
                <w:sz w:val="24"/>
                <w:szCs w:val="24"/>
              </w:rPr>
            </w:pPr>
            <w:bookmarkStart w:id="9" w:name="docs-internal-guid-a984d4db-7fff-1f8a-9e"/>
            <w:bookmarkEnd w:id="9"/>
            <w:r>
              <w:rPr>
                <w:rFonts w:ascii="Arial" w:hAnsi="Arial"/>
                <w:b w:val="false"/>
                <w:color w:val="000000"/>
                <w:sz w:val="24"/>
                <w:szCs w:val="24"/>
              </w:rPr>
              <w:t>Contributo di gara ANAC</w:t>
            </w:r>
          </w:p>
          <w:p>
            <w:pPr>
              <w:pStyle w:val="BodyText"/>
              <w:bidi w:val="0"/>
              <w:spacing w:lineRule="auto" w:line="240" w:before="60" w:after="80"/>
              <w:jc w:val="start"/>
              <w:rPr>
                <w:rFonts w:ascii="Arial" w:hAnsi="Arial"/>
                <w:b w:val="false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 w:val="false"/>
                <w:color w:val="000000"/>
                <w:sz w:val="24"/>
                <w:szCs w:val="24"/>
              </w:rPr>
              <w:t>Consulenza per progettazione partecipata e per la definizione del piano di comunicazione, facilitazione e supporto ai processi di co-design con cittadini e stakeholders, strumentali alla definizione dell’intervento.</w:t>
            </w:r>
          </w:p>
        </w:tc>
        <w:tc>
          <w:tcPr>
            <w:tcW w:w="565" w:type="dxa"/>
            <w:tcBorders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7FB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B1</w:t>
            </w:r>
          </w:p>
        </w:tc>
        <w:tc>
          <w:tcPr>
            <w:tcW w:w="2042" w:type="dxa"/>
            <w:tcBorders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7FB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04" w:type="dxa"/>
            <w:tcBorders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7FB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27" w:type="dxa"/>
            <w:tcBorders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7FB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58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7FB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2</w:t>
            </w: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) </w:t>
            </w:r>
            <w:bookmarkStart w:id="10" w:name="docs-internal-guid-5f2101a2-7fff-880e-e1"/>
            <w:bookmarkEnd w:id="10"/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Spese per imprevisti, indennità, collaudi tecnici in corso d’opera e finali  (max 5% di A)</w:t>
            </w:r>
          </w:p>
        </w:tc>
        <w:tc>
          <w:tcPr>
            <w:tcW w:w="565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7FB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B3</w:t>
            </w:r>
          </w:p>
        </w:tc>
        <w:tc>
          <w:tcPr>
            <w:tcW w:w="2042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7FB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7FB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27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7FB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58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C) Acquisto di terreni/aree (max 10% di A)</w:t>
            </w:r>
          </w:p>
        </w:tc>
        <w:tc>
          <w:tcPr>
            <w:tcW w:w="565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C</w:t>
            </w:r>
          </w:p>
        </w:tc>
        <w:tc>
          <w:tcPr>
            <w:tcW w:w="2042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27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58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7FB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D) Pubblicità e cartellonistica (max €5.000)</w:t>
            </w:r>
          </w:p>
        </w:tc>
        <w:tc>
          <w:tcPr>
            <w:tcW w:w="565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7FB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D</w:t>
            </w:r>
          </w:p>
        </w:tc>
        <w:tc>
          <w:tcPr>
            <w:tcW w:w="2042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7FB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7FB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27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7FB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58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DEEAF1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404040"/>
                <w:sz w:val="24"/>
                <w:szCs w:val="24"/>
              </w:rPr>
              <w:t>TOTALE COSTI AMMISSIBILI</w:t>
            </w:r>
          </w:p>
        </w:tc>
        <w:tc>
          <w:tcPr>
            <w:tcW w:w="565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DEEAF1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42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DEEAF1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DEEAF1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27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DEEAF1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58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DEEAF1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404040"/>
                <w:sz w:val="24"/>
                <w:szCs w:val="24"/>
              </w:rPr>
              <w:t>di cui: contributo FESR richiesto (90%)</w:t>
            </w:r>
          </w:p>
        </w:tc>
        <w:tc>
          <w:tcPr>
            <w:tcW w:w="565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DEEAF1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42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DEEAF1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DEEAF1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27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DEEAF1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58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DEEAF1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404040"/>
                <w:sz w:val="24"/>
                <w:szCs w:val="24"/>
              </w:rPr>
              <w:t>di cui: cofinanziamento del beneficiario (min. 10%)</w:t>
            </w:r>
          </w:p>
        </w:tc>
        <w:tc>
          <w:tcPr>
            <w:tcW w:w="565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DEEAF1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42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DEEAF1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DEEAF1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27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DEEAF1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bidi w:val="0"/>
        <w:spacing w:lineRule="auto" w:line="240" w:before="60" w:after="80"/>
        <w:jc w:val="start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200" w:type="dxa"/>
        <w:jc w:val="start"/>
        <w:tblInd w:w="0" w:type="dxa"/>
        <w:tblLayout w:type="fixed"/>
        <w:tblCellMar>
          <w:top w:w="60" w:type="dxa"/>
          <w:start w:w="160" w:type="dxa"/>
          <w:bottom w:w="40" w:type="dxa"/>
          <w:end w:w="160" w:type="dxa"/>
        </w:tblCellMar>
      </w:tblPr>
      <w:tblGrid>
        <w:gridCol w:w="9200"/>
      </w:tblGrid>
      <w:tr>
        <w:trPr/>
        <w:tc>
          <w:tcPr>
            <w:tcW w:w="9200" w:type="dxa"/>
            <w:tcBorders/>
            <w:shd w:fill="FCE4D6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C55A11"/>
                <w:sz w:val="24"/>
                <w:szCs w:val="24"/>
              </w:rPr>
              <w:t xml:space="preserve">Indicazioni per la compilazione —  </w:t>
            </w:r>
            <w:r>
              <w:rPr>
                <w:rFonts w:eastAsia="Arial" w:cs="Arial" w:ascii="Arial" w:hAnsi="Arial"/>
                <w:b/>
                <w:bCs/>
                <w:color w:val="C55A11"/>
                <w:sz w:val="24"/>
                <w:szCs w:val="24"/>
              </w:rPr>
              <w:t>Allegato 15 “Griglia dei criteri di valutazione”, punto</w:t>
            </w:r>
            <w:r>
              <w:rPr>
                <w:rFonts w:eastAsia="Arial" w:cs="Arial" w:ascii="Arial" w:hAnsi="Arial"/>
                <w:b/>
                <w:bCs/>
                <w:color w:val="C55A11"/>
                <w:sz w:val="24"/>
                <w:szCs w:val="24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C55A11"/>
                <w:sz w:val="24"/>
                <w:szCs w:val="24"/>
              </w:rPr>
              <w:t>11.2</w:t>
            </w:r>
            <w:r>
              <w:rPr>
                <w:rFonts w:eastAsia="Arial" w:cs="Arial" w:ascii="Arial" w:hAnsi="Arial"/>
                <w:b/>
                <w:bCs/>
                <w:color w:val="C55A11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C55A11"/>
                <w:sz w:val="24"/>
                <w:szCs w:val="24"/>
              </w:rPr>
              <w:t>— PUNTEGGIO ESCLUDENTE se assente</w:t>
            </w:r>
          </w:p>
          <w:p>
            <w:pPr>
              <w:pStyle w:val="Normal"/>
              <w:bidi w:val="0"/>
              <w:spacing w:lineRule="auto" w:line="240" w:before="60" w:after="80"/>
              <w:jc w:val="start"/>
              <w:rPr>
                <w:b/>
                <w:bCs/>
                <w:color w:val="C55A11"/>
                <w:sz w:val="24"/>
                <w:szCs w:val="24"/>
              </w:rPr>
            </w:pPr>
            <w:r>
              <w:rPr>
                <w:b/>
                <w:bCs/>
                <w:color w:val="C55A11"/>
                <w:sz w:val="24"/>
                <w:szCs w:val="24"/>
              </w:rPr>
            </w:r>
          </w:p>
        </w:tc>
      </w:tr>
      <w:tr>
        <w:trPr/>
        <w:tc>
          <w:tcPr>
            <w:tcW w:w="9200" w:type="dxa"/>
            <w:tcBorders/>
            <w:shd w:fill="FCE4D6" w:val="clear"/>
            <w:tcMar>
              <w:top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i/>
                <w:i/>
                <w:iCs/>
                <w:color w:val="843C0C"/>
                <w:sz w:val="24"/>
                <w:szCs w:val="24"/>
              </w:rPr>
            </w:pPr>
            <w:r>
              <w:rPr>
                <w:rFonts w:eastAsia="Arial" w:cs="Arial" w:ascii="Arial" w:hAnsi="Arial"/>
                <w:i/>
                <w:iCs/>
                <w:color w:val="843C0C"/>
                <w:sz w:val="24"/>
                <w:szCs w:val="24"/>
              </w:rPr>
              <w:t>Descrivere sinteticamente le principali voci di costo e la loro pertinenza rispetto agli interventi previsti. In caso di voci non riconducibili immediatamente alle tipologie ammissibili, motivarne l'indispensabilità per la realizzazione funzionale dell'intervento.</w:t>
            </w:r>
          </w:p>
        </w:tc>
      </w:tr>
      <w:tr>
        <w:trPr/>
        <w:tc>
          <w:tcPr>
            <w:tcW w:w="9200" w:type="dxa"/>
            <w:tcBorders/>
            <w:shd w:fill="FCE4D6" w:val="clear"/>
            <w:tcMar>
              <w:top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rFonts w:eastAsia="Arial" w:cs="Arial" w:ascii="Arial" w:hAnsi="Arial"/>
                <w:i/>
                <w:iCs/>
                <w:color w:val="843C0C"/>
                <w:sz w:val="24"/>
                <w:szCs w:val="24"/>
              </w:rPr>
              <w:t>Per il criterio 1</w:t>
            </w:r>
            <w:r>
              <w:rPr>
                <w:rFonts w:eastAsia="Arial" w:cs="Arial" w:ascii="Arial" w:hAnsi="Arial"/>
                <w:i/>
                <w:iCs/>
                <w:color w:val="843C0C"/>
                <w:sz w:val="24"/>
                <w:szCs w:val="24"/>
              </w:rPr>
              <w:t>1</w:t>
            </w:r>
            <w:r>
              <w:rPr>
                <w:i/>
                <w:iCs/>
                <w:color w:val="843C0C"/>
                <w:sz w:val="24"/>
                <w:szCs w:val="24"/>
              </w:rPr>
              <w:t>.2</w:t>
            </w:r>
            <w:r>
              <w:rPr>
                <w:rFonts w:eastAsia="Arial" w:cs="Arial" w:ascii="Arial" w:hAnsi="Arial"/>
                <w:i/>
                <w:iCs/>
                <w:color w:val="843C0C"/>
                <w:sz w:val="24"/>
                <w:szCs w:val="24"/>
              </w:rPr>
              <w:t xml:space="preserve"> della Griglia, indicare per ogni voce principale il riferimento al prezzario regionale o la metodologia di determinazione del prezzo.</w:t>
            </w:r>
          </w:p>
        </w:tc>
      </w:tr>
      <w:tr>
        <w:trPr/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shd w:fill="DEEAF1" w:val="clear"/>
            <w:tcMar>
              <w:start w:w="120" w:type="dxa"/>
              <w:bottom w:w="60" w:type="dxa"/>
              <w:end w:w="1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1F4E79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>Commento al quadro economico e pertinenza delle voci di costo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start w:w="120" w:type="dxa"/>
              <w:end w:w="1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start w:w="120" w:type="dxa"/>
              <w:end w:w="1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start w:w="120" w:type="dxa"/>
              <w:end w:w="1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</w:tbl>
    <w:p>
      <w:pPr>
        <w:pStyle w:val="Heading2"/>
        <w:spacing w:lineRule="auto" w:line="240" w:before="280" w:after="12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spacing w:lineRule="auto" w:line="240" w:before="280" w:after="120"/>
        <w:rPr>
          <w:rFonts w:ascii="Arial" w:hAnsi="Arial" w:eastAsia="Arial" w:cs="Arial"/>
          <w:b/>
          <w:bCs/>
          <w:color w:val="2E75B6"/>
          <w:sz w:val="24"/>
          <w:szCs w:val="24"/>
        </w:rPr>
      </w:pPr>
      <w:r>
        <w:rPr>
          <w:rFonts w:eastAsia="Arial" w:cs="Arial"/>
          <w:b/>
          <w:bCs/>
          <w:color w:val="2E75B6"/>
          <w:sz w:val="24"/>
          <w:szCs w:val="24"/>
        </w:rPr>
        <w:t>3.1 Analisi costi-benefici e valutazione di soluzioni alternative</w:t>
      </w:r>
    </w:p>
    <w:tbl>
      <w:tblPr>
        <w:tblW w:w="9200" w:type="dxa"/>
        <w:jc w:val="start"/>
        <w:tblInd w:w="0" w:type="dxa"/>
        <w:tblLayout w:type="fixed"/>
        <w:tblCellMar>
          <w:top w:w="60" w:type="dxa"/>
          <w:start w:w="160" w:type="dxa"/>
          <w:bottom w:w="40" w:type="dxa"/>
          <w:end w:w="160" w:type="dxa"/>
        </w:tblCellMar>
      </w:tblPr>
      <w:tblGrid>
        <w:gridCol w:w="9200"/>
      </w:tblGrid>
      <w:tr>
        <w:trPr/>
        <w:tc>
          <w:tcPr>
            <w:tcW w:w="9200" w:type="dxa"/>
            <w:tcBorders/>
            <w:shd w:fill="FCE4D6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C55A11"/>
                <w:sz w:val="24"/>
                <w:szCs w:val="24"/>
              </w:rPr>
              <w:t xml:space="preserve">Indicazioni per la compilazione — </w:t>
            </w:r>
            <w:r>
              <w:rPr>
                <w:rFonts w:eastAsia="Arial" w:cs="Arial" w:ascii="Arial" w:hAnsi="Arial"/>
                <w:b/>
                <w:bCs/>
                <w:color w:val="C55A11"/>
                <w:sz w:val="24"/>
                <w:szCs w:val="24"/>
              </w:rPr>
              <w:t xml:space="preserve">Allegato 15 “Griglia dei criteri di valutazione”, punto </w:t>
            </w:r>
            <w:r>
              <w:rPr>
                <w:rFonts w:eastAsia="Arial" w:cs="Arial" w:ascii="Arial" w:hAnsi="Arial"/>
                <w:b/>
                <w:bCs/>
                <w:color w:val="C55A11"/>
                <w:sz w:val="24"/>
                <w:szCs w:val="24"/>
              </w:rPr>
              <w:t>11.1</w:t>
            </w:r>
            <w:r>
              <w:rPr>
                <w:rFonts w:eastAsia="Arial" w:cs="Arial" w:ascii="Arial" w:hAnsi="Arial"/>
                <w:b/>
                <w:bCs/>
                <w:color w:val="C55A11"/>
                <w:sz w:val="24"/>
                <w:szCs w:val="24"/>
              </w:rPr>
              <w:t xml:space="preserve">  — PUNTEGGIO ESCLUDENTE se assente</w:t>
            </w:r>
          </w:p>
        </w:tc>
      </w:tr>
      <w:tr>
        <w:trPr/>
        <w:tc>
          <w:tcPr>
            <w:tcW w:w="9200" w:type="dxa"/>
            <w:tcBorders/>
            <w:shd w:fill="FCE4D6" w:val="clear"/>
            <w:tcMar>
              <w:top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i/>
                <w:i/>
                <w:iCs/>
                <w:color w:val="843C0C"/>
                <w:sz w:val="24"/>
                <w:szCs w:val="24"/>
              </w:rPr>
            </w:pPr>
            <w:r>
              <w:rPr>
                <w:rFonts w:eastAsia="Arial" w:cs="Arial" w:ascii="Arial" w:hAnsi="Arial"/>
                <w:i/>
                <w:iCs/>
                <w:color w:val="843C0C"/>
                <w:sz w:val="24"/>
                <w:szCs w:val="24"/>
              </w:rPr>
              <w:t>Descrivere almeno due soluzioni alternative valutate nella fase di progettazione e motivare la scelta adottata in termini di miglior rapporto costi/benefici.</w:t>
            </w:r>
          </w:p>
        </w:tc>
      </w:tr>
      <w:tr>
        <w:trPr/>
        <w:tc>
          <w:tcPr>
            <w:tcW w:w="9200" w:type="dxa"/>
            <w:tcBorders/>
            <w:shd w:fill="FCE4D6" w:val="clear"/>
            <w:tcMar>
              <w:top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i/>
                <w:i/>
                <w:iCs/>
                <w:color w:val="843C0C"/>
                <w:sz w:val="24"/>
                <w:szCs w:val="24"/>
              </w:rPr>
            </w:pPr>
            <w:r>
              <w:rPr>
                <w:rFonts w:eastAsia="Arial" w:cs="Arial" w:ascii="Arial" w:hAnsi="Arial"/>
                <w:i/>
                <w:iCs/>
                <w:color w:val="843C0C"/>
                <w:sz w:val="24"/>
                <w:szCs w:val="24"/>
              </w:rPr>
              <w:t>I benefici possono includere: numero di utenti serviti, km di rete ciclabile completata, emissioni evitate, superficie de-impermeabilizzata, accessibilità ai poli attrattori. Indicare vantaggi e svantaggi di ciascuna alternativa e le precauzioni operative adottate per la soluzione scelta.</w:t>
            </w:r>
          </w:p>
        </w:tc>
      </w:tr>
      <w:tr>
        <w:trPr/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shd w:fill="DEEAF1" w:val="clear"/>
            <w:tcMar>
              <w:start w:w="120" w:type="dxa"/>
              <w:bottom w:w="60" w:type="dxa"/>
              <w:end w:w="1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1F4E79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>Soluzione alternativa A — Descrizione e valutazione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start w:w="120" w:type="dxa"/>
              <w:end w:w="1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start w:w="120" w:type="dxa"/>
              <w:end w:w="1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start w:w="120" w:type="dxa"/>
              <w:end w:w="1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</w:tbl>
    <w:p>
      <w:pPr>
        <w:pStyle w:val="Normal"/>
        <w:bidi w:val="0"/>
        <w:spacing w:lineRule="auto" w:line="240" w:before="60" w:after="80"/>
        <w:jc w:val="start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>
      <w:pPr>
        <w:pStyle w:val="Normal"/>
        <w:bidi w:val="0"/>
        <w:spacing w:lineRule="auto" w:line="240" w:before="60" w:after="80"/>
        <w:jc w:val="start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200" w:type="dxa"/>
        <w:jc w:val="start"/>
        <w:tblInd w:w="-5" w:type="dxa"/>
        <w:tblLayout w:type="fixed"/>
        <w:tblCellMar>
          <w:top w:w="60" w:type="dxa"/>
          <w:start w:w="120" w:type="dxa"/>
          <w:bottom w:w="60" w:type="dxa"/>
          <w:end w:w="120" w:type="dxa"/>
        </w:tblCellMar>
      </w:tblPr>
      <w:tblGrid>
        <w:gridCol w:w="9200"/>
      </w:tblGrid>
      <w:tr>
        <w:trPr/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shd w:fill="DEEAF1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1F4E79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>Soluzione alternativa B — Descrizione e valutazione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</w:tbl>
    <w:p>
      <w:pPr>
        <w:pStyle w:val="Normal"/>
        <w:bidi w:val="0"/>
        <w:spacing w:lineRule="auto" w:line="240" w:before="60" w:after="80"/>
        <w:jc w:val="start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200" w:type="dxa"/>
        <w:jc w:val="start"/>
        <w:tblInd w:w="-5" w:type="dxa"/>
        <w:tblLayout w:type="fixed"/>
        <w:tblCellMar>
          <w:top w:w="60" w:type="dxa"/>
          <w:start w:w="120" w:type="dxa"/>
          <w:bottom w:w="60" w:type="dxa"/>
          <w:end w:w="120" w:type="dxa"/>
        </w:tblCellMar>
      </w:tblPr>
      <w:tblGrid>
        <w:gridCol w:w="9200"/>
      </w:tblGrid>
      <w:tr>
        <w:trPr/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shd w:fill="DEEAF1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1F4E79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>Motivazione della scelta progettuale adottata (miglior rapporto costi/benefici)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</w:tbl>
    <w:p>
      <w:pPr>
        <w:pStyle w:val="Heading1"/>
        <w:pBdr>
          <w:bottom w:val="single" w:sz="8" w:space="2" w:color="1F4E79"/>
        </w:pBdr>
        <w:spacing w:lineRule="auto" w:line="240" w:before="400" w:after="160"/>
        <w:rPr>
          <w:sz w:val="24"/>
          <w:szCs w:val="24"/>
        </w:rPr>
      </w:pPr>
      <w:r>
        <w:rPr>
          <w:rFonts w:eastAsia="Arial" w:cs="Arial"/>
          <w:b/>
          <w:bCs/>
          <w:color w:val="1F4E79"/>
          <w:sz w:val="24"/>
          <w:szCs w:val="24"/>
        </w:rPr>
        <w:t>4. Piano di manutenzione e gestione quinquennale</w:t>
      </w:r>
    </w:p>
    <w:p>
      <w:pPr>
        <w:pStyle w:val="Normal"/>
        <w:bidi w:val="0"/>
        <w:spacing w:lineRule="auto" w:line="240" w:before="40" w:after="60"/>
        <w:ind w:hanging="0" w:start="0" w:end="0"/>
        <w:jc w:val="both"/>
        <w:rPr>
          <w:rFonts w:ascii="Arial" w:hAnsi="Arial" w:eastAsia="Arial" w:cs="Arial"/>
          <w:i/>
          <w:i/>
          <w:iCs/>
          <w:color w:val="666666"/>
          <w:sz w:val="24"/>
          <w:szCs w:val="24"/>
        </w:rPr>
      </w:pPr>
      <w:r>
        <w:rPr>
          <w:rFonts w:eastAsia="Arial" w:cs="Arial" w:ascii="Arial" w:hAnsi="Arial"/>
          <w:i/>
          <w:iCs/>
          <w:color w:val="666666"/>
          <w:sz w:val="24"/>
          <w:szCs w:val="24"/>
        </w:rPr>
        <w:t xml:space="preserve">Il piano di manutenzione è condizione obbligatoria di ammissibilità (par. 2.3 </w:t>
      </w:r>
      <w:r>
        <w:rPr>
          <w:rFonts w:eastAsia="Arial" w:cs="Arial" w:ascii="Arial" w:hAnsi="Arial"/>
          <w:i/>
          <w:iCs/>
          <w:color w:val="666666"/>
          <w:sz w:val="24"/>
          <w:szCs w:val="24"/>
        </w:rPr>
        <w:t>punto 6</w:t>
      </w:r>
      <w:r>
        <w:rPr>
          <w:rFonts w:eastAsia="Arial" w:cs="Arial" w:ascii="Arial" w:hAnsi="Arial"/>
          <w:i/>
          <w:iCs/>
          <w:color w:val="666666"/>
          <w:sz w:val="24"/>
          <w:szCs w:val="24"/>
        </w:rPr>
        <w:t xml:space="preserve"> del Bando). La sua assenza determina punteggio 0 con esclusione (criterio 8 — punteggio escludente). Il piano deve coprire almeno 5 anni dalla data del certificato di ultimazione lavori.</w:t>
      </w:r>
    </w:p>
    <w:p>
      <w:pPr>
        <w:pStyle w:val="Normal"/>
        <w:bidi w:val="0"/>
        <w:spacing w:lineRule="auto" w:line="240" w:before="60" w:after="80"/>
        <w:jc w:val="start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</w:p>
    <w:tbl>
      <w:tblPr>
        <w:tblW w:w="9180" w:type="dxa"/>
        <w:jc w:val="start"/>
        <w:tblInd w:w="-20" w:type="dxa"/>
        <w:tblLayout w:type="fixed"/>
        <w:tblCellMar>
          <w:top w:w="50" w:type="dxa"/>
          <w:start w:w="60" w:type="dxa"/>
          <w:bottom w:w="50" w:type="dxa"/>
          <w:end w:w="60" w:type="dxa"/>
        </w:tblCellMar>
      </w:tblPr>
      <w:tblGrid>
        <w:gridCol w:w="2025"/>
        <w:gridCol w:w="660"/>
        <w:gridCol w:w="645"/>
        <w:gridCol w:w="599"/>
        <w:gridCol w:w="661"/>
        <w:gridCol w:w="599"/>
        <w:gridCol w:w="1696"/>
        <w:gridCol w:w="2295"/>
      </w:tblGrid>
      <w:tr>
        <w:trPr>
          <w:trHeight w:val="270" w:hRule="atLeast"/>
        </w:trPr>
        <w:tc>
          <w:tcPr>
            <w:tcW w:w="9180" w:type="dxa"/>
            <w:gridSpan w:val="8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FCE4D6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b/>
                <w:bCs/>
                <w:color w:val="C55A11"/>
                <w:sz w:val="24"/>
                <w:szCs w:val="24"/>
              </w:rPr>
              <w:t>Indicazioni per la compilazione</w:t>
            </w:r>
            <w:r>
              <w:rPr>
                <w:i/>
                <w:iCs/>
                <w:color w:val="843C0C"/>
                <w:sz w:val="24"/>
                <w:szCs w:val="24"/>
              </w:rPr>
              <w:t xml:space="preserve"> —</w:t>
            </w:r>
            <w:r>
              <w:rPr>
                <w:b/>
                <w:bCs/>
                <w:color w:val="C55A11"/>
                <w:sz w:val="24"/>
                <w:szCs w:val="24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C55A11"/>
                <w:sz w:val="24"/>
                <w:szCs w:val="24"/>
              </w:rPr>
              <w:t>Allegato 15 “Griglia dei criteri di valutazione”, punto</w:t>
            </w:r>
            <w:r>
              <w:rPr>
                <w:b/>
                <w:bCs/>
                <w:color w:val="C55A11"/>
                <w:sz w:val="24"/>
                <w:szCs w:val="24"/>
              </w:rPr>
              <w:t xml:space="preserve"> 8  — PUNTEGGIO ESCLUDENTE se assente</w:t>
            </w:r>
          </w:p>
          <w:p>
            <w:pPr>
              <w:pStyle w:val="Normal"/>
              <w:bidi w:val="0"/>
              <w:spacing w:lineRule="auto" w:line="240" w:before="60" w:after="80"/>
              <w:jc w:val="start"/>
              <w:rPr>
                <w:i/>
                <w:i/>
                <w:iCs/>
                <w:color w:val="843C0C"/>
                <w:sz w:val="24"/>
                <w:szCs w:val="24"/>
              </w:rPr>
            </w:pPr>
            <w:r>
              <w:rPr>
                <w:i/>
                <w:iCs/>
                <w:color w:val="843C0C"/>
                <w:sz w:val="24"/>
                <w:szCs w:val="24"/>
              </w:rPr>
              <w:t>Indicare per ciascuna categoria di intervento manutentivo: la frequenza prevista (barrare le caselle anno per anno), il costo stimato annuale e il soggetto responsabile dell'esecuzione. Indicare le disponibilità nei bilanci comunali a copertura dei costi di manutenzione, con riferimento agli stanziamenti già presenti o agli impegni di bilancio programmati.</w:t>
            </w:r>
          </w:p>
        </w:tc>
      </w:tr>
      <w:tr>
        <w:trPr/>
        <w:tc>
          <w:tcPr>
            <w:tcW w:w="2025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Tipo di intervento manutentivo</w:t>
            </w:r>
          </w:p>
        </w:tc>
        <w:tc>
          <w:tcPr>
            <w:tcW w:w="660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Anno 1</w:t>
            </w:r>
          </w:p>
        </w:tc>
        <w:tc>
          <w:tcPr>
            <w:tcW w:w="645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Anno 2</w:t>
            </w:r>
          </w:p>
        </w:tc>
        <w:tc>
          <w:tcPr>
            <w:tcW w:w="599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Anno 3</w:t>
            </w:r>
          </w:p>
        </w:tc>
        <w:tc>
          <w:tcPr>
            <w:tcW w:w="661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Anno 4</w:t>
            </w:r>
          </w:p>
        </w:tc>
        <w:tc>
          <w:tcPr>
            <w:tcW w:w="599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Anno 5</w:t>
            </w:r>
          </w:p>
        </w:tc>
        <w:tc>
          <w:tcPr>
            <w:tcW w:w="1696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Costo stimato (€/anno)</w:t>
            </w:r>
          </w:p>
        </w:tc>
        <w:tc>
          <w:tcPr>
            <w:tcW w:w="2295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Soggetto responsabile</w:t>
            </w:r>
          </w:p>
        </w:tc>
      </w:tr>
      <w:tr>
        <w:trPr/>
        <w:tc>
          <w:tcPr>
            <w:tcW w:w="2025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Segnaletica orizzontale e verticale</w:t>
            </w:r>
          </w:p>
        </w:tc>
        <w:tc>
          <w:tcPr>
            <w:tcW w:w="66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9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1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9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6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95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025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Manutenzione pavimentazione / superficie</w:t>
            </w:r>
          </w:p>
        </w:tc>
        <w:tc>
          <w:tcPr>
            <w:tcW w:w="66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9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1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9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6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95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025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Manutenzione infrastrutture verdi (potatura, irrigazione, sostituzione)</w:t>
            </w:r>
          </w:p>
        </w:tc>
        <w:tc>
          <w:tcPr>
            <w:tcW w:w="66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9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1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9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6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95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025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Manutenzione impianti tecnologici (contatori, illuminazione, sistemi captazione)</w:t>
            </w:r>
          </w:p>
        </w:tc>
        <w:tc>
          <w:tcPr>
            <w:tcW w:w="66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9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1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9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6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95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025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Pulizia e gestione ordinaria degli spazi pubblici</w:t>
            </w:r>
          </w:p>
        </w:tc>
        <w:tc>
          <w:tcPr>
            <w:tcW w:w="66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9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1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9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6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95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025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DEEAF1" w:val="clear"/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404040"/>
                <w:sz w:val="24"/>
                <w:szCs w:val="24"/>
              </w:rPr>
              <w:t>TOTALE COSTI MANUTENZIONE QUINQUENNALE</w:t>
            </w:r>
          </w:p>
        </w:tc>
        <w:tc>
          <w:tcPr>
            <w:tcW w:w="66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DEEAF1" w:val="clear"/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DEEAF1" w:val="clear"/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9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DEEAF1" w:val="clear"/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1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DEEAF1" w:val="clear"/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9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DEEAF1" w:val="clear"/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6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DEEAF1" w:val="clear"/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95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DEEAF1" w:val="clear"/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bidi w:val="0"/>
        <w:spacing w:lineRule="auto" w:line="240" w:before="60" w:after="80"/>
        <w:jc w:val="start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200" w:type="dxa"/>
        <w:jc w:val="start"/>
        <w:tblInd w:w="-5" w:type="dxa"/>
        <w:tblLayout w:type="fixed"/>
        <w:tblCellMar>
          <w:top w:w="60" w:type="dxa"/>
          <w:start w:w="120" w:type="dxa"/>
          <w:bottom w:w="60" w:type="dxa"/>
          <w:end w:w="120" w:type="dxa"/>
        </w:tblCellMar>
      </w:tblPr>
      <w:tblGrid>
        <w:gridCol w:w="9200"/>
      </w:tblGrid>
      <w:tr>
        <w:trPr/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shd w:fill="DEEAF1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1F4E79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>Disponibilità di bilancio per la manutenzione — dichiarazione del Responsabile Finanziario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</w:tbl>
    <w:p>
      <w:pPr>
        <w:pStyle w:val="Normal"/>
        <w:bidi w:val="0"/>
        <w:spacing w:lineRule="auto" w:line="240" w:before="60" w:after="80"/>
        <w:jc w:val="start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200" w:type="dxa"/>
        <w:jc w:val="start"/>
        <w:tblInd w:w="-5" w:type="dxa"/>
        <w:tblLayout w:type="fixed"/>
        <w:tblCellMar>
          <w:top w:w="60" w:type="dxa"/>
          <w:start w:w="120" w:type="dxa"/>
          <w:bottom w:w="60" w:type="dxa"/>
          <w:end w:w="120" w:type="dxa"/>
        </w:tblCellMar>
      </w:tblPr>
      <w:tblGrid>
        <w:gridCol w:w="9200"/>
      </w:tblGrid>
      <w:tr>
        <w:trPr/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shd w:fill="DEEAF1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1F4E79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>Modalità di gestione degli spazi pubblici riqualificati (soggetto gestore, convenzioni, accordi con enti)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</w:tbl>
    <w:p>
      <w:pPr>
        <w:pStyle w:val="Normal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1"/>
        <w:pBdr>
          <w:bottom w:val="single" w:sz="8" w:space="2" w:color="1F4E79"/>
        </w:pBdr>
        <w:spacing w:lineRule="auto" w:line="240" w:before="400" w:after="160"/>
        <w:rPr>
          <w:rFonts w:ascii="Arial" w:hAnsi="Arial" w:eastAsia="Arial" w:cs="Arial"/>
          <w:b/>
          <w:bCs/>
          <w:color w:val="1F4E79"/>
          <w:sz w:val="24"/>
          <w:szCs w:val="24"/>
        </w:rPr>
      </w:pPr>
      <w:r>
        <w:rPr>
          <w:rFonts w:eastAsia="Arial" w:cs="Arial"/>
          <w:b/>
          <w:bCs/>
          <w:color w:val="1F4E79"/>
          <w:sz w:val="24"/>
          <w:szCs w:val="24"/>
        </w:rPr>
        <w:t>5. Piano di monitoraggio e indicatori</w:t>
      </w:r>
    </w:p>
    <w:tbl>
      <w:tblPr>
        <w:tblW w:w="9200" w:type="dxa"/>
        <w:jc w:val="start"/>
        <w:tblInd w:w="-5" w:type="dxa"/>
        <w:tblLayout w:type="fixed"/>
        <w:tblCellMar>
          <w:top w:w="60" w:type="dxa"/>
          <w:start w:w="80" w:type="dxa"/>
          <w:bottom w:w="60" w:type="dxa"/>
          <w:end w:w="80" w:type="dxa"/>
        </w:tblCellMar>
      </w:tblPr>
      <w:tblGrid>
        <w:gridCol w:w="2400"/>
        <w:gridCol w:w="1600"/>
        <w:gridCol w:w="1800"/>
        <w:gridCol w:w="2000"/>
        <w:gridCol w:w="1400"/>
      </w:tblGrid>
      <w:tr>
        <w:trPr>
          <w:trHeight w:val="300" w:hRule="atLeast"/>
        </w:trPr>
        <w:tc>
          <w:tcPr>
            <w:tcW w:w="9200" w:type="dxa"/>
            <w:gridSpan w:val="5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FCE4D6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b/>
                <w:bCs/>
                <w:color w:val="C55A11"/>
                <w:sz w:val="24"/>
                <w:szCs w:val="24"/>
              </w:rPr>
            </w:pPr>
            <w:r>
              <w:rPr>
                <w:b/>
                <w:bCs/>
                <w:color w:val="C55A11"/>
                <w:sz w:val="24"/>
                <w:szCs w:val="24"/>
              </w:rPr>
              <w:t>Indicazioni per la compilazione</w:t>
            </w:r>
          </w:p>
          <w:p>
            <w:pPr>
              <w:pStyle w:val="Normal"/>
              <w:bidi w:val="0"/>
              <w:spacing w:lineRule="auto" w:line="240" w:before="60" w:after="80"/>
              <w:jc w:val="start"/>
              <w:rPr>
                <w:i/>
                <w:i/>
                <w:iCs/>
                <w:color w:val="843C0C"/>
                <w:sz w:val="24"/>
                <w:szCs w:val="24"/>
              </w:rPr>
            </w:pPr>
            <w:r>
              <w:rPr>
                <w:i/>
                <w:iCs/>
                <w:color w:val="843C0C"/>
                <w:sz w:val="24"/>
                <w:szCs w:val="24"/>
              </w:rPr>
              <w:t>Per ogni indicatore riportato nella tabella, indicare il valore baseline (anno precedente la presentazione della domanda) e il valore atteso al completamento dell'intervento. Per gli indicatori di riduzione delle emissioni, il valore atteso deve essere coerente con la stima di cui alla Tabella 2.2a. I contatori bidirezionali per il monitoraggio del traffico ciclabile sono obbligatori per i percorsi ciclabili (par. 2.2 del Bando). Indicarne la localizzazione prevista.</w:t>
            </w:r>
          </w:p>
        </w:tc>
      </w:tr>
      <w:tr>
        <w:trPr/>
        <w:tc>
          <w:tcPr>
            <w:tcW w:w="2400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Indicatore</w:t>
            </w:r>
          </w:p>
        </w:tc>
        <w:tc>
          <w:tcPr>
            <w:tcW w:w="1600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Valore baseline (anno ___)</w:t>
            </w:r>
          </w:p>
        </w:tc>
        <w:tc>
          <w:tcPr>
            <w:tcW w:w="1800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Valore atteso a fine progetto</w:t>
            </w:r>
          </w:p>
        </w:tc>
        <w:tc>
          <w:tcPr>
            <w:tcW w:w="2000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Metodo di rilevazione</w:t>
            </w:r>
          </w:p>
        </w:tc>
        <w:tc>
          <w:tcPr>
            <w:tcW w:w="1400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Frequenza</w:t>
            </w:r>
          </w:p>
        </w:tc>
      </w:tr>
      <w:tr>
        <w:trPr/>
        <w:tc>
          <w:tcPr>
            <w:tcW w:w="24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ISO10 — N. interventi realizzati</w:t>
            </w:r>
          </w:p>
        </w:tc>
        <w:tc>
          <w:tcPr>
            <w:tcW w:w="16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Certificato di ultimazione lavori</w:t>
            </w:r>
          </w:p>
        </w:tc>
        <w:tc>
          <w:tcPr>
            <w:tcW w:w="14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Una tantum</w:t>
            </w:r>
          </w:p>
        </w:tc>
      </w:tr>
      <w:tr>
        <w:trPr/>
        <w:tc>
          <w:tcPr>
            <w:tcW w:w="24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0F5FA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RCR50 — Popolazione beneficiata (persone)</w:t>
            </w:r>
          </w:p>
        </w:tc>
        <w:tc>
          <w:tcPr>
            <w:tcW w:w="16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0F5FA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0F5FA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0F5FA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Dato ISTAT + stima area di influenza</w:t>
            </w:r>
          </w:p>
        </w:tc>
        <w:tc>
          <w:tcPr>
            <w:tcW w:w="14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0F5FA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Ex post</w:t>
            </w:r>
          </w:p>
        </w:tc>
      </w:tr>
      <w:tr>
        <w:trPr/>
        <w:tc>
          <w:tcPr>
            <w:tcW w:w="24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40" w:after="60"/>
              <w:ind w:hanging="0" w:start="0" w:end="0"/>
              <w:jc w:val="start"/>
              <w:rPr>
                <w:rFonts w:ascii="Arial" w:hAnsi="Arial" w:eastAsia="Arial" w:cs="Arial"/>
                <w:color w:val="666666"/>
                <w:sz w:val="24"/>
                <w:szCs w:val="24"/>
              </w:rPr>
            </w:pPr>
            <w:r>
              <w:rPr>
                <w:rFonts w:eastAsia="Arial" w:cs="Arial" w:ascii="Arial" w:hAnsi="Arial"/>
                <w:i/>
                <w:iCs/>
                <w:color w:val="666666"/>
                <w:sz w:val="24"/>
                <w:szCs w:val="24"/>
              </w:rPr>
              <w:t>∆</w:t>
            </w:r>
            <w:r>
              <w:rPr>
                <w:rFonts w:eastAsia="Arial" w:cs="Arial" w:ascii="Arial" w:hAnsi="Arial"/>
                <w:i/>
                <w:iCs/>
                <w:color w:val="666666"/>
                <w:sz w:val="24"/>
                <w:szCs w:val="24"/>
              </w:rPr>
              <w:t>km</w:t>
            </w:r>
            <w:r>
              <w:rPr>
                <w:rFonts w:eastAsia="Arial" w:cs="Arial" w:ascii="Arial" w:hAnsi="Arial"/>
                <w:i/>
                <w:iCs/>
                <w:color w:val="666666"/>
                <w:sz w:val="24"/>
                <w:szCs w:val="24"/>
                <w:vertAlign w:val="subscript"/>
              </w:rPr>
              <w:t xml:space="preserve">auto  </w:t>
            </w:r>
          </w:p>
          <w:p>
            <w:pPr>
              <w:pStyle w:val="Normal"/>
              <w:bidi w:val="0"/>
              <w:spacing w:lineRule="auto" w:line="240" w:before="40" w:after="60"/>
              <w:ind w:hanging="0" w:start="0" w:end="0"/>
              <w:jc w:val="start"/>
              <w:rPr>
                <w:rFonts w:ascii="Arial" w:hAnsi="Arial" w:eastAsia="Arial" w:cs="Arial"/>
                <w:color w:val="666666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R</w:t>
            </w: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iduzione delle percorrenze o spostamenti evitati dei mezzi privati </w:t>
            </w: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(</w:t>
            </w: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veh·km/anno</w:t>
            </w: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)</w:t>
            </w:r>
          </w:p>
        </w:tc>
        <w:tc>
          <w:tcPr>
            <w:tcW w:w="16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Contatori ciclabili / </w:t>
            </w: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sistemi di rilevazioni del traffico/ stime</w:t>
            </w:r>
          </w:p>
        </w:tc>
        <w:tc>
          <w:tcPr>
            <w:tcW w:w="14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Annuale</w:t>
            </w:r>
          </w:p>
        </w:tc>
      </w:tr>
      <w:tr>
        <w:trPr/>
        <w:tc>
          <w:tcPr>
            <w:tcW w:w="24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0F5FA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Riduzione PM10 (kg/anno)</w:t>
            </w:r>
          </w:p>
        </w:tc>
        <w:tc>
          <w:tcPr>
            <w:tcW w:w="16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0F5FA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0F5FA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0F5FA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Fattori emissione INEMAR applicati a veh·km/anno</w:t>
            </w:r>
          </w:p>
        </w:tc>
        <w:tc>
          <w:tcPr>
            <w:tcW w:w="14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0F5FA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Annuale</w:t>
            </w:r>
          </w:p>
        </w:tc>
      </w:tr>
      <w:tr>
        <w:trPr/>
        <w:tc>
          <w:tcPr>
            <w:tcW w:w="24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Riduzione NOx (kg/anno)</w:t>
            </w:r>
          </w:p>
        </w:tc>
        <w:tc>
          <w:tcPr>
            <w:tcW w:w="16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Fattori emissione INEMAR applicati a veh·km/anno</w:t>
            </w:r>
          </w:p>
        </w:tc>
        <w:tc>
          <w:tcPr>
            <w:tcW w:w="14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Annuale</w:t>
            </w:r>
          </w:p>
        </w:tc>
      </w:tr>
      <w:tr>
        <w:trPr/>
        <w:tc>
          <w:tcPr>
            <w:tcW w:w="24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0F5FA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Riduzione </w:t>
            </w: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di gas ad effetto serra</w:t>
            </w: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(kg </w:t>
            </w: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CO2 equiv.</w:t>
            </w: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/anno)</w:t>
            </w:r>
          </w:p>
        </w:tc>
        <w:tc>
          <w:tcPr>
            <w:tcW w:w="16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0F5FA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0F5FA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0F5FA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Fattori emissione INEMAR applicati a veh·km/anno</w:t>
            </w:r>
          </w:p>
        </w:tc>
        <w:tc>
          <w:tcPr>
            <w:tcW w:w="14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0F5FA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Annuale</w:t>
            </w:r>
          </w:p>
        </w:tc>
      </w:tr>
      <w:tr>
        <w:trPr/>
        <w:tc>
          <w:tcPr>
            <w:tcW w:w="24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N. utenti ciclabili (passaggi/giorno)</w:t>
            </w:r>
          </w:p>
        </w:tc>
        <w:tc>
          <w:tcPr>
            <w:tcW w:w="16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Contatori bidirezionali obbligatori</w:t>
            </w:r>
          </w:p>
        </w:tc>
        <w:tc>
          <w:tcPr>
            <w:tcW w:w="14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Mensile</w:t>
            </w:r>
          </w:p>
        </w:tc>
      </w:tr>
      <w:tr>
        <w:trPr/>
        <w:tc>
          <w:tcPr>
            <w:tcW w:w="2400" w:type="dxa"/>
            <w:tcBorders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0F5FA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N. studenti/addetti raggiunti dal percorso</w:t>
            </w:r>
          </w:p>
        </w:tc>
        <w:tc>
          <w:tcPr>
            <w:tcW w:w="1600" w:type="dxa"/>
            <w:tcBorders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0F5FA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00" w:type="dxa"/>
            <w:tcBorders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0F5FA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00" w:type="dxa"/>
            <w:tcBorders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0F5FA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Dati istituto / polo produttivo</w:t>
            </w:r>
          </w:p>
        </w:tc>
        <w:tc>
          <w:tcPr>
            <w:tcW w:w="1400" w:type="dxa"/>
            <w:tcBorders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0F5FA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Una tantum</w:t>
            </w:r>
          </w:p>
        </w:tc>
      </w:tr>
    </w:tbl>
    <w:p>
      <w:pPr>
        <w:pStyle w:val="Normal"/>
        <w:bidi w:val="0"/>
        <w:spacing w:lineRule="auto" w:line="240" w:before="60" w:after="80"/>
        <w:jc w:val="start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200" w:type="dxa"/>
        <w:jc w:val="start"/>
        <w:tblInd w:w="-5" w:type="dxa"/>
        <w:tblLayout w:type="fixed"/>
        <w:tblCellMar>
          <w:top w:w="60" w:type="dxa"/>
          <w:start w:w="120" w:type="dxa"/>
          <w:bottom w:w="60" w:type="dxa"/>
          <w:end w:w="120" w:type="dxa"/>
        </w:tblCellMar>
      </w:tblPr>
      <w:tblGrid>
        <w:gridCol w:w="9200"/>
      </w:tblGrid>
      <w:tr>
        <w:trPr/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shd w:fill="DEEAF1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1F4E79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>Localizzazione dei contatori ciclabili obbligatori (con riferimento alla planimetria di progetto)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bottom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</w:tbl>
    <w:p>
      <w:pPr>
        <w:pStyle w:val="Normal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1"/>
        <w:pBdr>
          <w:bottom w:val="single" w:sz="8" w:space="2" w:color="1F4E79"/>
        </w:pBdr>
        <w:spacing w:lineRule="auto" w:line="240" w:before="400" w:after="160"/>
        <w:rPr>
          <w:rFonts w:ascii="Arial" w:hAnsi="Arial" w:eastAsia="Arial" w:cs="Arial"/>
          <w:b/>
          <w:bCs/>
          <w:color w:val="1F4E79"/>
          <w:sz w:val="24"/>
          <w:szCs w:val="24"/>
        </w:rPr>
      </w:pPr>
      <w:r>
        <w:rPr>
          <w:rFonts w:eastAsia="Arial" w:cs="Arial"/>
          <w:b/>
          <w:bCs/>
          <w:color w:val="1F4E79"/>
          <w:sz w:val="24"/>
          <w:szCs w:val="24"/>
        </w:rPr>
        <w:t>6. Cronoprogramma</w:t>
      </w:r>
    </w:p>
    <w:p>
      <w:pPr>
        <w:pStyle w:val="Normal"/>
        <w:bidi w:val="0"/>
        <w:spacing w:lineRule="auto" w:line="240" w:before="40" w:after="60"/>
        <w:ind w:hanging="0" w:start="360" w:end="0"/>
        <w:jc w:val="start"/>
        <w:rPr>
          <w:rFonts w:ascii="Arial" w:hAnsi="Arial" w:eastAsia="Arial" w:cs="Arial"/>
          <w:i/>
          <w:i/>
          <w:iCs/>
          <w:color w:val="666666"/>
          <w:sz w:val="24"/>
          <w:szCs w:val="24"/>
          <w:shd w:fill="auto" w:val="clear"/>
        </w:rPr>
      </w:pPr>
      <w:r>
        <w:rPr>
          <w:rFonts w:eastAsia="Arial" w:cs="Arial" w:ascii="Arial" w:hAnsi="Arial"/>
          <w:i/>
          <w:iCs/>
          <w:color w:val="666666"/>
          <w:sz w:val="24"/>
          <w:szCs w:val="24"/>
          <w:shd w:fill="auto" w:val="clear"/>
        </w:rPr>
        <w:t>Il cronoprogramma deve essere coerente con i termini del Bando: scelta del contraente entro 12 mesi dalla concessione, ultimazione lavori entro 24 mesi dalla concessione. La rendicontazione finale deve essere presentata entro 90 giorni dall'ultimazione.</w:t>
      </w:r>
    </w:p>
    <w:p>
      <w:pPr>
        <w:pStyle w:val="Normal"/>
        <w:bidi w:val="0"/>
        <w:spacing w:lineRule="auto" w:line="240" w:before="40" w:after="60"/>
        <w:ind w:hanging="0" w:start="360" w:end="0"/>
        <w:jc w:val="start"/>
        <w:rPr>
          <w:i/>
          <w:i/>
          <w:iCs/>
          <w:color w:val="666666"/>
          <w:sz w:val="24"/>
          <w:szCs w:val="24"/>
        </w:rPr>
      </w:pPr>
      <w:r>
        <w:rPr>
          <w:i/>
          <w:iCs/>
          <w:color w:val="666666"/>
          <w:sz w:val="24"/>
          <w:szCs w:val="24"/>
        </w:rPr>
        <w:t xml:space="preserve">                                                                                                         </w:t>
      </w:r>
    </w:p>
    <w:p>
      <w:pPr>
        <w:pStyle w:val="Normal"/>
        <w:bidi w:val="0"/>
        <w:spacing w:lineRule="auto" w:line="240" w:before="60" w:after="80"/>
        <w:jc w:val="start"/>
        <w:rPr>
          <w:rFonts w:ascii="Arial" w:hAnsi="Arial" w:eastAsia="Arial" w:cs="Arial"/>
          <w:b/>
          <w:bCs/>
          <w:color w:val="1F4E79"/>
          <w:sz w:val="24"/>
          <w:szCs w:val="24"/>
        </w:rPr>
      </w:pPr>
      <w:r>
        <w:rPr>
          <w:rFonts w:eastAsia="Arial" w:cs="Arial" w:ascii="Arial" w:hAnsi="Arial"/>
          <w:b/>
          <w:bCs/>
          <w:color w:val="1F4E79"/>
          <w:sz w:val="24"/>
          <w:szCs w:val="24"/>
        </w:rPr>
        <w:t>Tabella 6.1 — Diagramma di Gantt (mesi dalla data di concessione)</w:t>
      </w:r>
    </w:p>
    <w:p>
      <w:pPr>
        <w:pStyle w:val="Normal"/>
        <w:bidi w:val="0"/>
        <w:spacing w:lineRule="auto" w:line="240" w:before="40" w:after="60"/>
        <w:ind w:hanging="0" w:start="360" w:end="0"/>
        <w:jc w:val="start"/>
        <w:rPr>
          <w:rFonts w:ascii="Arial" w:hAnsi="Arial" w:eastAsia="Arial" w:cs="Arial"/>
          <w:i/>
          <w:i/>
          <w:iCs/>
          <w:color w:val="666666"/>
          <w:sz w:val="24"/>
          <w:szCs w:val="24"/>
        </w:rPr>
      </w:pPr>
      <w:r>
        <w:rPr>
          <w:rFonts w:eastAsia="Arial" w:cs="Arial" w:ascii="Arial" w:hAnsi="Arial"/>
          <w:i/>
          <w:iCs/>
          <w:color w:val="666666"/>
          <w:sz w:val="24"/>
          <w:szCs w:val="24"/>
        </w:rPr>
        <w:t>Colorare o barrare le celle corrispondenti ai mesi di svolgimento di ciascuna attività.</w:t>
      </w:r>
    </w:p>
    <w:tbl>
      <w:tblPr>
        <w:tblW w:w="9195" w:type="dxa"/>
        <w:jc w:val="start"/>
        <w:tblInd w:w="-5" w:type="dxa"/>
        <w:tblLayout w:type="fixed"/>
        <w:tblCellMar>
          <w:top w:w="40" w:type="dxa"/>
          <w:start w:w="80" w:type="dxa"/>
          <w:bottom w:w="40" w:type="dxa"/>
          <w:end w:w="80" w:type="dxa"/>
        </w:tblCellMar>
      </w:tblPr>
      <w:tblGrid>
        <w:gridCol w:w="1860"/>
        <w:gridCol w:w="315"/>
        <w:gridCol w:w="315"/>
        <w:gridCol w:w="316"/>
        <w:gridCol w:w="315"/>
        <w:gridCol w:w="316"/>
        <w:gridCol w:w="315"/>
        <w:gridCol w:w="315"/>
        <w:gridCol w:w="316"/>
        <w:gridCol w:w="315"/>
        <w:gridCol w:w="300"/>
        <w:gridCol w:w="300"/>
        <w:gridCol w:w="299"/>
        <w:gridCol w:w="300"/>
        <w:gridCol w:w="300"/>
        <w:gridCol w:w="300"/>
        <w:gridCol w:w="299"/>
        <w:gridCol w:w="300"/>
        <w:gridCol w:w="300"/>
        <w:gridCol w:w="300"/>
        <w:gridCol w:w="299"/>
        <w:gridCol w:w="300"/>
        <w:gridCol w:w="300"/>
        <w:gridCol w:w="300"/>
        <w:gridCol w:w="300"/>
      </w:tblGrid>
      <w:tr>
        <w:trPr/>
        <w:tc>
          <w:tcPr>
            <w:tcW w:w="1860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Attività</w:t>
            </w:r>
          </w:p>
        </w:tc>
        <w:tc>
          <w:tcPr>
            <w:tcW w:w="315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  <w:tcMar>
              <w:start w:w="20" w:type="dxa"/>
              <w:end w:w="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1</w:t>
            </w:r>
          </w:p>
        </w:tc>
        <w:tc>
          <w:tcPr>
            <w:tcW w:w="315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  <w:tcMar>
              <w:start w:w="20" w:type="dxa"/>
              <w:end w:w="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2</w:t>
            </w:r>
          </w:p>
        </w:tc>
        <w:tc>
          <w:tcPr>
            <w:tcW w:w="316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  <w:tcMar>
              <w:start w:w="20" w:type="dxa"/>
              <w:end w:w="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3</w:t>
            </w:r>
          </w:p>
        </w:tc>
        <w:tc>
          <w:tcPr>
            <w:tcW w:w="315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  <w:tcMar>
              <w:start w:w="20" w:type="dxa"/>
              <w:end w:w="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4</w:t>
            </w:r>
          </w:p>
        </w:tc>
        <w:tc>
          <w:tcPr>
            <w:tcW w:w="316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  <w:tcMar>
              <w:start w:w="20" w:type="dxa"/>
              <w:end w:w="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5</w:t>
            </w:r>
          </w:p>
        </w:tc>
        <w:tc>
          <w:tcPr>
            <w:tcW w:w="315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  <w:tcMar>
              <w:start w:w="20" w:type="dxa"/>
              <w:end w:w="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6</w:t>
            </w:r>
          </w:p>
        </w:tc>
        <w:tc>
          <w:tcPr>
            <w:tcW w:w="315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  <w:tcMar>
              <w:start w:w="20" w:type="dxa"/>
              <w:end w:w="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7</w:t>
            </w:r>
          </w:p>
        </w:tc>
        <w:tc>
          <w:tcPr>
            <w:tcW w:w="316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  <w:tcMar>
              <w:start w:w="20" w:type="dxa"/>
              <w:end w:w="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8</w:t>
            </w:r>
          </w:p>
        </w:tc>
        <w:tc>
          <w:tcPr>
            <w:tcW w:w="315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  <w:tcMar>
              <w:start w:w="20" w:type="dxa"/>
              <w:end w:w="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9</w:t>
            </w:r>
          </w:p>
        </w:tc>
        <w:tc>
          <w:tcPr>
            <w:tcW w:w="300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  <w:tcMar>
              <w:start w:w="20" w:type="dxa"/>
              <w:end w:w="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10</w:t>
            </w:r>
          </w:p>
        </w:tc>
        <w:tc>
          <w:tcPr>
            <w:tcW w:w="300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  <w:tcMar>
              <w:start w:w="20" w:type="dxa"/>
              <w:end w:w="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11</w:t>
            </w:r>
          </w:p>
        </w:tc>
        <w:tc>
          <w:tcPr>
            <w:tcW w:w="299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  <w:tcMar>
              <w:start w:w="20" w:type="dxa"/>
              <w:end w:w="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12</w:t>
            </w:r>
          </w:p>
        </w:tc>
        <w:tc>
          <w:tcPr>
            <w:tcW w:w="300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  <w:tcMar>
              <w:start w:w="20" w:type="dxa"/>
              <w:end w:w="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13</w:t>
            </w:r>
          </w:p>
        </w:tc>
        <w:tc>
          <w:tcPr>
            <w:tcW w:w="300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  <w:tcMar>
              <w:start w:w="20" w:type="dxa"/>
              <w:end w:w="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14</w:t>
            </w:r>
          </w:p>
        </w:tc>
        <w:tc>
          <w:tcPr>
            <w:tcW w:w="300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  <w:tcMar>
              <w:start w:w="20" w:type="dxa"/>
              <w:end w:w="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15</w:t>
            </w:r>
          </w:p>
        </w:tc>
        <w:tc>
          <w:tcPr>
            <w:tcW w:w="299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  <w:tcMar>
              <w:start w:w="20" w:type="dxa"/>
              <w:end w:w="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16</w:t>
            </w:r>
          </w:p>
        </w:tc>
        <w:tc>
          <w:tcPr>
            <w:tcW w:w="300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  <w:tcMar>
              <w:start w:w="20" w:type="dxa"/>
              <w:end w:w="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17</w:t>
            </w:r>
          </w:p>
        </w:tc>
        <w:tc>
          <w:tcPr>
            <w:tcW w:w="300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  <w:tcMar>
              <w:start w:w="20" w:type="dxa"/>
              <w:end w:w="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18</w:t>
            </w:r>
          </w:p>
        </w:tc>
        <w:tc>
          <w:tcPr>
            <w:tcW w:w="300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  <w:tcMar>
              <w:start w:w="20" w:type="dxa"/>
              <w:end w:w="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19</w:t>
            </w:r>
          </w:p>
        </w:tc>
        <w:tc>
          <w:tcPr>
            <w:tcW w:w="299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  <w:tcMar>
              <w:start w:w="20" w:type="dxa"/>
              <w:end w:w="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20</w:t>
            </w:r>
          </w:p>
        </w:tc>
        <w:tc>
          <w:tcPr>
            <w:tcW w:w="300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  <w:tcMar>
              <w:start w:w="20" w:type="dxa"/>
              <w:end w:w="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21</w:t>
            </w:r>
          </w:p>
        </w:tc>
        <w:tc>
          <w:tcPr>
            <w:tcW w:w="300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  <w:tcMar>
              <w:start w:w="20" w:type="dxa"/>
              <w:end w:w="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22</w:t>
            </w:r>
          </w:p>
        </w:tc>
        <w:tc>
          <w:tcPr>
            <w:tcW w:w="300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  <w:tcMar>
              <w:start w:w="20" w:type="dxa"/>
              <w:end w:w="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23</w:t>
            </w:r>
          </w:p>
        </w:tc>
        <w:tc>
          <w:tcPr>
            <w:tcW w:w="300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  <w:tcMar>
              <w:start w:w="20" w:type="dxa"/>
              <w:end w:w="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24</w:t>
            </w:r>
          </w:p>
        </w:tc>
      </w:tr>
      <w:tr>
        <w:trPr>
          <w:trHeight w:val="320" w:hRule="atLeast"/>
        </w:trPr>
        <w:tc>
          <w:tcPr>
            <w:tcW w:w="186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30" w:type="dxa"/>
              <w:bottom w:w="3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404040"/>
                <w:sz w:val="20"/>
                <w:szCs w:val="20"/>
              </w:rPr>
              <w:t>Progettazione esecutiva</w:t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6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6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6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186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30" w:type="dxa"/>
              <w:bottom w:w="3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404040"/>
                <w:sz w:val="20"/>
                <w:szCs w:val="20"/>
              </w:rPr>
              <w:t>Gara e aggiudicazione</w:t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6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6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6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186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30" w:type="dxa"/>
              <w:bottom w:w="3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404040"/>
                <w:sz w:val="20"/>
                <w:szCs w:val="20"/>
              </w:rPr>
              <w:t>Avvio cantiere</w:t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6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6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6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186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30" w:type="dxa"/>
              <w:bottom w:w="3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404040"/>
                <w:sz w:val="20"/>
                <w:szCs w:val="20"/>
              </w:rPr>
              <w:t>Esecuzione lavori</w:t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6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6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6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186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30" w:type="dxa"/>
              <w:bottom w:w="3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404040"/>
                <w:sz w:val="20"/>
                <w:szCs w:val="20"/>
              </w:rPr>
              <w:t>Collaudo / cert. regolare esecuzione</w:t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6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6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6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186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30" w:type="dxa"/>
              <w:bottom w:w="3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404040"/>
                <w:sz w:val="20"/>
                <w:szCs w:val="20"/>
              </w:rPr>
              <w:t>Progettazione partecipata</w:t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6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6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6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186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30" w:type="dxa"/>
              <w:bottom w:w="3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404040"/>
                <w:sz w:val="20"/>
                <w:szCs w:val="20"/>
              </w:rPr>
              <w:t>Campagna comunicazione</w:t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6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6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6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186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30" w:type="dxa"/>
              <w:bottom w:w="3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404040"/>
                <w:sz w:val="20"/>
                <w:szCs w:val="20"/>
              </w:rPr>
              <w:t>Rendicontazione intermedia</w:t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6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6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6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186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30" w:type="dxa"/>
              <w:bottom w:w="3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404040"/>
                <w:sz w:val="20"/>
                <w:szCs w:val="20"/>
              </w:rPr>
              <w:t>Rendicontazione finale</w:t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6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6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6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5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bidi w:val="0"/>
        <w:spacing w:lineRule="auto" w:line="240" w:before="60" w:after="8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spacing w:lineRule="auto" w:line="240" w:before="280" w:after="120"/>
        <w:rPr>
          <w:rFonts w:ascii="Arial" w:hAnsi="Arial" w:eastAsia="Arial" w:cs="Arial"/>
          <w:b/>
          <w:bCs/>
          <w:color w:val="2E75B6"/>
          <w:sz w:val="24"/>
          <w:szCs w:val="24"/>
        </w:rPr>
      </w:pPr>
      <w:r>
        <w:rPr>
          <w:rFonts w:eastAsia="Arial" w:cs="Arial"/>
          <w:b/>
          <w:bCs/>
          <w:color w:val="2E75B6"/>
          <w:sz w:val="24"/>
          <w:szCs w:val="24"/>
        </w:rPr>
        <w:t>6.1 Stato dell'iter autorizzatorio</w:t>
      </w:r>
    </w:p>
    <w:tbl>
      <w:tblPr>
        <w:tblW w:w="9200" w:type="dxa"/>
        <w:jc w:val="start"/>
        <w:tblInd w:w="0" w:type="dxa"/>
        <w:tblLayout w:type="fixed"/>
        <w:tblCellMar>
          <w:top w:w="60" w:type="dxa"/>
          <w:start w:w="160" w:type="dxa"/>
          <w:bottom w:w="40" w:type="dxa"/>
          <w:end w:w="160" w:type="dxa"/>
        </w:tblCellMar>
      </w:tblPr>
      <w:tblGrid>
        <w:gridCol w:w="9200"/>
      </w:tblGrid>
      <w:tr>
        <w:trPr/>
        <w:tc>
          <w:tcPr>
            <w:tcW w:w="9200" w:type="dxa"/>
            <w:tcBorders/>
            <w:shd w:fill="FCE4D6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C55A11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C55A11"/>
                <w:sz w:val="24"/>
                <w:szCs w:val="24"/>
              </w:rPr>
              <w:t xml:space="preserve">Indicazioni per la compilazione </w:t>
            </w:r>
          </w:p>
        </w:tc>
      </w:tr>
      <w:tr>
        <w:trPr/>
        <w:tc>
          <w:tcPr>
            <w:tcW w:w="9200" w:type="dxa"/>
            <w:tcBorders/>
            <w:shd w:fill="FCE4D6" w:val="clear"/>
            <w:tcMar>
              <w:top w:w="4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i/>
                <w:i/>
                <w:iCs/>
                <w:color w:val="843C0C"/>
                <w:sz w:val="24"/>
                <w:szCs w:val="24"/>
              </w:rPr>
            </w:pPr>
            <w:r>
              <w:rPr>
                <w:rFonts w:eastAsia="Arial" w:cs="Arial" w:ascii="Arial" w:hAnsi="Arial"/>
                <w:i/>
                <w:iCs/>
                <w:color w:val="843C0C"/>
                <w:sz w:val="24"/>
                <w:szCs w:val="24"/>
              </w:rPr>
              <w:t>Indicare lo stato di avanzamento dell'iter progettuale e autorizzativo: indicare il livello di progettazione raggiunto (PFTE o Progetto Esecutivo), le autorizzazioni/nulla osta già ottenuti e quelli ancora necessari, con stima dei tempi di rilascio.</w:t>
            </w:r>
          </w:p>
        </w:tc>
      </w:tr>
      <w:tr>
        <w:trPr/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shd w:fill="DEEAF1" w:val="clear"/>
            <w:tcMar>
              <w:start w:w="120" w:type="dxa"/>
              <w:bottom w:w="60" w:type="dxa"/>
              <w:end w:w="1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1F4E79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>Stato dell'iter autorizzatorio e progettuale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start w:w="120" w:type="dxa"/>
              <w:end w:w="1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start w:w="120" w:type="dxa"/>
              <w:end w:w="1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  <w:tr>
        <w:trPr>
          <w:trHeight w:val="36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40" w:type="dxa"/>
              <w:start w:w="120" w:type="dxa"/>
              <w:end w:w="1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</w:tbl>
    <w:p>
      <w:pPr>
        <w:pStyle w:val="Heading2"/>
        <w:spacing w:lineRule="auto" w:line="240" w:before="280" w:after="120"/>
        <w:rPr>
          <w:rFonts w:ascii="Arial" w:hAnsi="Arial" w:eastAsia="Arial" w:cs="Arial"/>
          <w:b/>
          <w:bCs/>
          <w:color w:val="2E75B6"/>
          <w:sz w:val="24"/>
          <w:szCs w:val="24"/>
        </w:rPr>
      </w:pPr>
      <w:r>
        <w:rPr>
          <w:rFonts w:eastAsia="Arial" w:cs="Arial"/>
          <w:b/>
          <w:bCs/>
          <w:color w:val="2E75B6"/>
          <w:sz w:val="24"/>
          <w:szCs w:val="24"/>
        </w:rPr>
        <w:t>6.2 Vita utile e note</w:t>
      </w:r>
    </w:p>
    <w:tbl>
      <w:tblPr>
        <w:tblW w:w="9200" w:type="dxa"/>
        <w:jc w:val="start"/>
        <w:tblInd w:w="-5" w:type="dxa"/>
        <w:tblLayout w:type="fixed"/>
        <w:tblCellMar>
          <w:top w:w="60" w:type="dxa"/>
          <w:start w:w="120" w:type="dxa"/>
          <w:bottom w:w="60" w:type="dxa"/>
          <w:end w:w="120" w:type="dxa"/>
        </w:tblCellMar>
      </w:tblPr>
      <w:tblGrid>
        <w:gridCol w:w="4600"/>
        <w:gridCol w:w="4600"/>
      </w:tblGrid>
      <w:tr>
        <w:trPr/>
        <w:tc>
          <w:tcPr>
            <w:tcW w:w="46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shd w:fill="DEEAF1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1F4E79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>Vita utile attesa dell'intervento principale (anni)</w:t>
            </w:r>
          </w:p>
        </w:tc>
        <w:tc>
          <w:tcPr>
            <w:tcW w:w="46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shd w:fill="DEEAF1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1F4E79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>Data prevista di ultimazione lavori</w:t>
            </w:r>
          </w:p>
        </w:tc>
      </w:tr>
      <w:tr>
        <w:trPr>
          <w:trHeight w:val="360" w:hRule="atLeast"/>
        </w:trPr>
        <w:tc>
          <w:tcPr>
            <w:tcW w:w="46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  <w:tc>
          <w:tcPr>
            <w:tcW w:w="46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  <w:tr>
        <w:trPr>
          <w:trHeight w:val="360" w:hRule="atLeast"/>
        </w:trPr>
        <w:tc>
          <w:tcPr>
            <w:tcW w:w="46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  <w:tc>
          <w:tcPr>
            <w:tcW w:w="46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</w:t>
            </w:r>
          </w:p>
        </w:tc>
      </w:tr>
    </w:tbl>
    <w:p>
      <w:pPr>
        <w:pStyle w:val="Normal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1"/>
        <w:pBdr>
          <w:bottom w:val="single" w:sz="8" w:space="2" w:color="1F4E79"/>
        </w:pBdr>
        <w:spacing w:lineRule="auto" w:line="240" w:before="400" w:after="160"/>
        <w:rPr>
          <w:rFonts w:ascii="Arial" w:hAnsi="Arial" w:eastAsia="Arial" w:cs="Arial"/>
          <w:b/>
          <w:bCs/>
          <w:color w:val="1F4E79"/>
          <w:sz w:val="24"/>
          <w:szCs w:val="24"/>
        </w:rPr>
      </w:pPr>
      <w:r>
        <w:rPr>
          <w:rFonts w:eastAsia="Arial" w:cs="Arial"/>
          <w:b/>
          <w:bCs/>
          <w:color w:val="1F4E79"/>
          <w:sz w:val="24"/>
          <w:szCs w:val="24"/>
        </w:rPr>
        <w:t>7. Rispondenza agli strumenti di pianificazione multilivello</w:t>
      </w:r>
    </w:p>
    <w:tbl>
      <w:tblPr>
        <w:tblW w:w="9200" w:type="dxa"/>
        <w:jc w:val="start"/>
        <w:tblInd w:w="-5" w:type="dxa"/>
        <w:tblLayout w:type="fixed"/>
        <w:tblCellMar>
          <w:top w:w="60" w:type="dxa"/>
          <w:start w:w="100" w:type="dxa"/>
          <w:bottom w:w="60" w:type="dxa"/>
          <w:end w:w="100" w:type="dxa"/>
        </w:tblCellMar>
      </w:tblPr>
      <w:tblGrid>
        <w:gridCol w:w="3000"/>
        <w:gridCol w:w="2199"/>
        <w:gridCol w:w="4001"/>
      </w:tblGrid>
      <w:tr>
        <w:trPr>
          <w:trHeight w:val="310" w:hRule="atLeast"/>
        </w:trPr>
        <w:tc>
          <w:tcPr>
            <w:tcW w:w="9200" w:type="dxa"/>
            <w:gridSpan w:val="3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FCE4D6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b/>
                <w:bCs/>
                <w:color w:val="C55A11"/>
                <w:sz w:val="24"/>
                <w:szCs w:val="24"/>
              </w:rPr>
            </w:pPr>
            <w:r>
              <w:rPr>
                <w:b/>
                <w:bCs/>
                <w:color w:val="C55A11"/>
                <w:sz w:val="24"/>
                <w:szCs w:val="24"/>
              </w:rPr>
              <w:t xml:space="preserve">Indicazioni per la compilazione — </w:t>
            </w:r>
            <w:r>
              <w:rPr>
                <w:rFonts w:eastAsia="Arial" w:cs="Arial" w:ascii="Arial" w:hAnsi="Arial"/>
                <w:b/>
                <w:bCs/>
                <w:color w:val="C55A11"/>
                <w:sz w:val="24"/>
                <w:szCs w:val="24"/>
              </w:rPr>
              <w:t>Allegato 15 “Griglia dei criteri di valutazione”, punto</w:t>
            </w:r>
            <w:r>
              <w:rPr>
                <w:b/>
                <w:bCs/>
                <w:color w:val="C55A11"/>
                <w:sz w:val="24"/>
                <w:szCs w:val="24"/>
              </w:rPr>
              <w:t xml:space="preserve"> 5  — PUNTEGGIO ESCLUDENTE se assente</w:t>
            </w:r>
          </w:p>
          <w:p>
            <w:pPr>
              <w:pStyle w:val="Normal"/>
              <w:bidi w:val="0"/>
              <w:spacing w:lineRule="auto" w:line="240" w:before="60" w:after="80"/>
              <w:jc w:val="start"/>
              <w:rPr>
                <w:i/>
                <w:i/>
                <w:iCs/>
                <w:color w:val="843C0C"/>
                <w:sz w:val="24"/>
                <w:szCs w:val="24"/>
              </w:rPr>
            </w:pPr>
            <w:r>
              <w:rPr>
                <w:i/>
                <w:iCs/>
                <w:color w:val="843C0C"/>
                <w:sz w:val="24"/>
                <w:szCs w:val="24"/>
              </w:rPr>
              <w:t>Per ciascuno strumento di pianificazione pertinente, indicare gli estremi dell'atto di approvazione, le specifiche misure/prescrizioni con cui l'intervento si raccorda e il contributo del progetto agli obiettivi ivi previsti.</w:t>
            </w:r>
          </w:p>
        </w:tc>
      </w:tr>
      <w:tr>
        <w:trPr/>
        <w:tc>
          <w:tcPr>
            <w:tcW w:w="3000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Strumento di pianificazione</w:t>
            </w:r>
          </w:p>
        </w:tc>
        <w:tc>
          <w:tcPr>
            <w:tcW w:w="2199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Atto di approvazione (estremi)</w:t>
            </w:r>
          </w:p>
        </w:tc>
        <w:tc>
          <w:tcPr>
            <w:tcW w:w="4001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Misure/obiettivi pertinenti e raccordo con il progetto</w:t>
            </w:r>
          </w:p>
        </w:tc>
      </w:tr>
      <w:tr>
        <w:trPr>
          <w:trHeight w:val="520" w:hRule="atLeast"/>
        </w:trPr>
        <w:tc>
          <w:tcPr>
            <w:tcW w:w="30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PRQA — Piano Regionale Qualità dell'Aria (DCR 18-28783/2024). </w:t>
            </w: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Norme di attuazione art. 13 e 14.</w:t>
            </w:r>
          </w:p>
        </w:tc>
        <w:tc>
          <w:tcPr>
            <w:tcW w:w="219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01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20" w:hRule="atLeast"/>
        </w:trPr>
        <w:tc>
          <w:tcPr>
            <w:tcW w:w="3000" w:type="dxa"/>
            <w:tcBorders>
              <w:top w:val="single" w:sz="4" w:space="0" w:color="AAAAAA"/>
              <w:start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PRQA —   Ordinanze sindacali attuazione delle misure straordinarie (D.G.R. n. 9-2196 del 26/02/2021, D.G.R. n. 26-</w:t>
            </w:r>
          </w:p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3694 del 06/08/2021)  </w:t>
            </w:r>
          </w:p>
        </w:tc>
        <w:tc>
          <w:tcPr>
            <w:tcW w:w="2199" w:type="dxa"/>
            <w:tcBorders>
              <w:top w:val="single" w:sz="4" w:space="0" w:color="AAAAAA"/>
              <w:start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</w:r>
          </w:p>
        </w:tc>
        <w:tc>
          <w:tcPr>
            <w:tcW w:w="4001" w:type="dxa"/>
            <w:tcBorders>
              <w:top w:val="single" w:sz="4" w:space="0" w:color="AAAAAA"/>
              <w:start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</w:r>
          </w:p>
        </w:tc>
      </w:tr>
      <w:tr>
        <w:trPr>
          <w:trHeight w:val="520" w:hRule="atLeast"/>
        </w:trPr>
        <w:tc>
          <w:tcPr>
            <w:tcW w:w="3000" w:type="dxa"/>
            <w:tcBorders>
              <w:start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PRMC — Piano Regionale Mobilità Ciclabile</w:t>
            </w:r>
          </w:p>
        </w:tc>
        <w:tc>
          <w:tcPr>
            <w:tcW w:w="2199" w:type="dxa"/>
            <w:tcBorders>
              <w:start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</w:r>
          </w:p>
        </w:tc>
        <w:tc>
          <w:tcPr>
            <w:tcW w:w="4001" w:type="dxa"/>
            <w:tcBorders>
              <w:start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</w:r>
          </w:p>
        </w:tc>
      </w:tr>
      <w:tr>
        <w:trPr>
          <w:trHeight w:val="520" w:hRule="atLeast"/>
        </w:trPr>
        <w:tc>
          <w:tcPr>
            <w:tcW w:w="3000" w:type="dxa"/>
            <w:tcBorders>
              <w:start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PRMT / PrMoP — Piano Regionale Mobilità e Trasporti</w:t>
            </w:r>
          </w:p>
        </w:tc>
        <w:tc>
          <w:tcPr>
            <w:tcW w:w="2199" w:type="dxa"/>
            <w:tcBorders>
              <w:start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</w:r>
          </w:p>
        </w:tc>
        <w:tc>
          <w:tcPr>
            <w:tcW w:w="4001" w:type="dxa"/>
            <w:tcBorders>
              <w:start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</w:r>
          </w:p>
        </w:tc>
      </w:tr>
      <w:tr>
        <w:trPr>
          <w:trHeight w:val="520" w:hRule="atLeast"/>
        </w:trPr>
        <w:tc>
          <w:tcPr>
            <w:tcW w:w="3000" w:type="dxa"/>
            <w:tcBorders>
              <w:start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PUMS comunale (se adottato), Biciplan, </w:t>
            </w: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oppure altra pianificazione programmazione sul tema della mobilità</w:t>
            </w:r>
          </w:p>
        </w:tc>
        <w:tc>
          <w:tcPr>
            <w:tcW w:w="2199" w:type="dxa"/>
            <w:tcBorders>
              <w:start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</w:r>
          </w:p>
        </w:tc>
        <w:tc>
          <w:tcPr>
            <w:tcW w:w="4001" w:type="dxa"/>
            <w:tcBorders>
              <w:start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</w:r>
          </w:p>
        </w:tc>
      </w:tr>
      <w:tr>
        <w:trPr>
          <w:trHeight w:val="520" w:hRule="atLeast"/>
        </w:trPr>
        <w:tc>
          <w:tcPr>
            <w:tcW w:w="3000" w:type="dxa"/>
            <w:tcBorders>
              <w:start w:val="single" w:sz="4" w:space="0" w:color="AAAAAA"/>
              <w:bottom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>PRG e altra pianificazione comunale</w:t>
            </w:r>
          </w:p>
        </w:tc>
        <w:tc>
          <w:tcPr>
            <w:tcW w:w="2199" w:type="dxa"/>
            <w:tcBorders>
              <w:start w:val="single" w:sz="4" w:space="0" w:color="AAAAAA"/>
              <w:bottom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</w:r>
          </w:p>
        </w:tc>
        <w:tc>
          <w:tcPr>
            <w:tcW w:w="4001" w:type="dxa"/>
            <w:tcBorders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</w:r>
          </w:p>
        </w:tc>
      </w:tr>
      <w:tr>
        <w:trPr>
          <w:trHeight w:val="520" w:hRule="atLeast"/>
        </w:trPr>
        <w:tc>
          <w:tcPr>
            <w:tcW w:w="3000" w:type="dxa"/>
            <w:tcBorders>
              <w:start w:val="single" w:sz="4" w:space="0" w:color="AAAAAA"/>
              <w:bottom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Altro (specificare)</w:t>
            </w:r>
          </w:p>
        </w:tc>
        <w:tc>
          <w:tcPr>
            <w:tcW w:w="2199" w:type="dxa"/>
            <w:tcBorders>
              <w:start w:val="single" w:sz="4" w:space="0" w:color="AAAAAA"/>
              <w:bottom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01" w:type="dxa"/>
            <w:tcBorders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1"/>
        <w:pBdr>
          <w:bottom w:val="single" w:sz="8" w:space="2" w:color="1F4E79"/>
        </w:pBdr>
        <w:spacing w:lineRule="auto" w:line="240" w:before="400" w:after="160"/>
        <w:jc w:val="both"/>
        <w:rPr>
          <w:sz w:val="24"/>
          <w:szCs w:val="24"/>
        </w:rPr>
      </w:pPr>
      <w:r>
        <w:rPr>
          <w:rFonts w:eastAsia="Arial" w:cs="Arial"/>
          <w:b/>
          <w:bCs/>
          <w:color w:val="1F4E79"/>
          <w:sz w:val="24"/>
          <w:szCs w:val="24"/>
        </w:rPr>
        <w:t>8</w:t>
      </w:r>
      <w:r>
        <w:rPr>
          <w:rFonts w:eastAsia="Arial" w:cs="Arial"/>
          <w:b/>
          <w:bCs/>
          <w:color w:val="1F4E79"/>
          <w:sz w:val="24"/>
          <w:szCs w:val="24"/>
        </w:rPr>
        <w:t xml:space="preserve">. </w:t>
      </w:r>
      <w:r>
        <w:rPr>
          <w:rFonts w:eastAsia="Arial" w:cs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1F4E79"/>
          <w:position w:val="0"/>
          <w:sz w:val="24"/>
          <w:sz w:val="24"/>
          <w:szCs w:val="24"/>
          <w:u w:val="none"/>
          <w:vertAlign w:val="baseline"/>
        </w:rPr>
        <w:t>Sintesi della resa a prova di clima del progetto e dichiarazione di immunizzazione climatica</w:t>
      </w:r>
    </w:p>
    <w:tbl>
      <w:tblPr>
        <w:tblW w:w="9200" w:type="dxa"/>
        <w:jc w:val="start"/>
        <w:tblInd w:w="-5" w:type="dxa"/>
        <w:tblLayout w:type="fixed"/>
        <w:tblCellMar>
          <w:top w:w="60" w:type="dxa"/>
          <w:start w:w="100" w:type="dxa"/>
          <w:bottom w:w="60" w:type="dxa"/>
          <w:end w:w="100" w:type="dxa"/>
        </w:tblCellMar>
      </w:tblPr>
      <w:tblGrid>
        <w:gridCol w:w="9200"/>
      </w:tblGrid>
      <w:tr>
        <w:trPr>
          <w:trHeight w:val="310" w:hRule="atLeast"/>
        </w:trPr>
        <w:tc>
          <w:tcPr>
            <w:tcW w:w="9200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FCE4D6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sz w:val="24"/>
                <w:szCs w:val="24"/>
              </w:rPr>
            </w:pPr>
            <w:r>
              <w:rPr>
                <w:b/>
                <w:bCs/>
                <w:color w:val="C55A11"/>
                <w:sz w:val="24"/>
                <w:szCs w:val="24"/>
              </w:rPr>
              <w:t xml:space="preserve">Indicazioni per la compilazione — </w:t>
            </w:r>
            <w:r>
              <w:rPr>
                <w:rFonts w:eastAsia="Arial" w:cs="Arial" w:ascii="Arial" w:hAnsi="Arial"/>
                <w:b/>
                <w:bCs/>
                <w:color w:val="C55A11"/>
                <w:sz w:val="24"/>
                <w:szCs w:val="24"/>
              </w:rPr>
              <w:t>Allegato 1</w:t>
            </w:r>
            <w:r>
              <w:rPr>
                <w:rFonts w:eastAsia="Arial" w:cs="Arial" w:ascii="Arial" w:hAnsi="Arial"/>
                <w:b/>
                <w:bCs/>
                <w:color w:val="C55A11"/>
                <w:sz w:val="24"/>
                <w:szCs w:val="24"/>
              </w:rPr>
              <w:t>2</w:t>
            </w:r>
            <w:r>
              <w:rPr>
                <w:rFonts w:eastAsia="Arial" w:cs="Arial" w:ascii="Arial" w:hAnsi="Arial"/>
                <w:b/>
                <w:bCs/>
                <w:color w:val="C55A11"/>
                <w:sz w:val="24"/>
                <w:szCs w:val="24"/>
              </w:rPr>
              <w:t xml:space="preserve"> “Sintesi della resa a prova di clima del progetto e dichiarazione di immunizzazione climatica”</w:t>
            </w:r>
          </w:p>
          <w:p>
            <w:pPr>
              <w:pStyle w:val="Normal"/>
              <w:bidi w:val="0"/>
              <w:spacing w:lineRule="auto" w:line="240" w:before="60" w:after="80"/>
              <w:jc w:val="start"/>
              <w:rPr>
                <w:i/>
                <w:i/>
                <w:iCs/>
                <w:color w:val="843C0C"/>
                <w:sz w:val="24"/>
                <w:szCs w:val="24"/>
              </w:rPr>
            </w:pPr>
            <w:r>
              <w:rPr>
                <w:i/>
                <w:iCs/>
                <w:color w:val="843C0C"/>
                <w:sz w:val="24"/>
                <w:szCs w:val="24"/>
              </w:rPr>
              <w:t xml:space="preserve">La relazione deve essere realizzata </w:t>
            </w:r>
            <w:r>
              <w:rPr>
                <w:i/>
                <w:iCs/>
                <w:color w:val="843C0C"/>
                <w:sz w:val="24"/>
                <w:szCs w:val="24"/>
              </w:rPr>
              <w:t xml:space="preserve">avendo a riferimento il percorso evidenziato dalla Check-list della resa a prova di clima del progetto, di cui si riporta </w:t>
            </w:r>
            <w:r>
              <w:rPr>
                <w:i/>
                <w:iCs/>
                <w:color w:val="843C0C"/>
                <w:sz w:val="24"/>
                <w:szCs w:val="24"/>
              </w:rPr>
              <w:t>nell’</w:t>
            </w:r>
            <w:r>
              <w:rPr>
                <w:i/>
                <w:iCs/>
                <w:color w:val="843C0C"/>
                <w:sz w:val="24"/>
                <w:szCs w:val="24"/>
              </w:rPr>
              <w:t xml:space="preserve">allegato </w:t>
            </w:r>
            <w:r>
              <w:rPr>
                <w:i/>
                <w:iCs/>
                <w:color w:val="843C0C"/>
                <w:sz w:val="24"/>
                <w:szCs w:val="24"/>
              </w:rPr>
              <w:t>12</w:t>
            </w:r>
            <w:r>
              <w:rPr>
                <w:i/>
                <w:iCs/>
                <w:color w:val="843C0C"/>
                <w:sz w:val="24"/>
                <w:szCs w:val="24"/>
              </w:rPr>
              <w:t xml:space="preserve"> (Tabella 1, </w:t>
            </w:r>
            <w:r>
              <w:rPr>
                <w:i/>
                <w:iCs/>
                <w:color w:val="843C0C"/>
                <w:sz w:val="24"/>
                <w:szCs w:val="24"/>
              </w:rPr>
              <w:t>allegato B</w:t>
            </w:r>
            <w:r>
              <w:rPr>
                <w:i/>
                <w:iCs/>
                <w:color w:val="843C0C"/>
                <w:sz w:val="24"/>
                <w:szCs w:val="24"/>
              </w:rPr>
              <w:t xml:space="preserve">) un modello esemplificativo ma non esaustivo. </w:t>
            </w:r>
            <w:r>
              <w:rPr>
                <w:i/>
                <w:iCs/>
                <w:color w:val="843C0C"/>
                <w:sz w:val="24"/>
                <w:szCs w:val="24"/>
              </w:rPr>
              <w:t>La relazione è</w:t>
            </w:r>
            <w:r>
              <w:rPr>
                <w:i/>
                <w:iCs/>
                <w:color w:val="843C0C"/>
                <w:sz w:val="24"/>
                <w:szCs w:val="24"/>
              </w:rPr>
              <w:t xml:space="preserve"> da compilare a cura del progettista </w:t>
            </w:r>
            <w:r>
              <w:rPr>
                <w:i/>
                <w:iCs/>
                <w:color w:val="843C0C"/>
                <w:sz w:val="24"/>
                <w:szCs w:val="24"/>
              </w:rPr>
              <w:t xml:space="preserve">sulla base </w:t>
            </w:r>
            <w:r>
              <w:rPr>
                <w:i/>
                <w:iCs/>
                <w:color w:val="843C0C"/>
                <w:sz w:val="24"/>
                <w:szCs w:val="24"/>
              </w:rPr>
              <w:t>degli interventi previsti nel progetto.</w:t>
            </w:r>
          </w:p>
          <w:p>
            <w:pPr>
              <w:pStyle w:val="Normal"/>
              <w:bidi w:val="0"/>
              <w:spacing w:lineRule="auto" w:line="240" w:before="60" w:after="80"/>
              <w:jc w:val="start"/>
              <w:rPr>
                <w:i/>
                <w:i/>
                <w:iCs/>
                <w:color w:val="843C0C"/>
                <w:sz w:val="24"/>
                <w:szCs w:val="24"/>
              </w:rPr>
            </w:pPr>
            <w:r>
              <w:rPr>
                <w:i/>
                <w:iCs/>
                <w:color w:val="843C0C"/>
                <w:sz w:val="24"/>
                <w:szCs w:val="24"/>
              </w:rPr>
              <w:t>La Dichiarazione di Immunizzazione Climatica deve essere redatta secondo il modello di cui all’Allegato A riportato nell’</w:t>
            </w:r>
            <w:r>
              <w:rPr>
                <w:i/>
                <w:iCs/>
                <w:color w:val="843C0C"/>
                <w:sz w:val="24"/>
                <w:szCs w:val="24"/>
              </w:rPr>
              <w:t xml:space="preserve">allegato </w:t>
            </w:r>
            <w:r>
              <w:rPr>
                <w:i/>
                <w:iCs/>
                <w:color w:val="843C0C"/>
                <w:sz w:val="24"/>
                <w:szCs w:val="24"/>
              </w:rPr>
              <w:t xml:space="preserve">12 </w:t>
            </w:r>
            <w:r>
              <w:rPr>
                <w:rFonts w:eastAsia="Arial" w:cs="Arial" w:ascii="Arial" w:hAnsi="Arial"/>
                <w:b/>
                <w:bCs/>
                <w:i/>
                <w:iCs/>
                <w:color w:val="C55A11"/>
                <w:sz w:val="24"/>
                <w:szCs w:val="24"/>
              </w:rPr>
              <w:t>“Sintesi della resa a prova di clima del progetto e dichiarazione di immunizzazione climatica”.</w:t>
            </w:r>
          </w:p>
        </w:tc>
      </w:tr>
      <w:tr>
        <w:trPr/>
        <w:tc>
          <w:tcPr>
            <w:tcW w:w="9200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DEE6EF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>R</w:t>
            </w:r>
            <w:r>
              <w:rPr>
                <w:rFonts w:eastAsia="Arial" w:cs="Arial" w:ascii="Arial" w:hAnsi="Arial"/>
                <w:b/>
                <w:bCs/>
                <w:color w:val="1F4E79"/>
                <w:sz w:val="24"/>
                <w:szCs w:val="24"/>
              </w:rPr>
              <w:t xml:space="preserve">elazione specialistica climatica </w:t>
            </w: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1F4E79"/>
                <w:position w:val="0"/>
                <w:sz w:val="24"/>
                <w:sz w:val="24"/>
                <w:szCs w:val="24"/>
                <w:u w:val="none"/>
                <w:vertAlign w:val="baseline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 xml:space="preserve">                                                                                     </w:t>
            </w:r>
          </w:p>
        </w:tc>
      </w:tr>
      <w:tr>
        <w:trPr>
          <w:trHeight w:val="520" w:hRule="atLeast"/>
        </w:trPr>
        <w:tc>
          <w:tcPr>
            <w:tcW w:w="9200" w:type="dxa"/>
            <w:tcBorders>
              <w:top w:val="single" w:sz="4" w:space="0" w:color="AAAAAA"/>
              <w:start w:val="single" w:sz="4" w:space="0" w:color="AAAAAA"/>
              <w:bottom w:val="single" w:sz="4" w:space="0" w:color="1F4E79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  <w:t xml:space="preserve">                       </w:t>
            </w:r>
          </w:p>
        </w:tc>
      </w:tr>
      <w:tr>
        <w:trPr>
          <w:trHeight w:val="520" w:hRule="atLeast"/>
        </w:trPr>
        <w:tc>
          <w:tcPr>
            <w:tcW w:w="9200" w:type="dxa"/>
            <w:tcBorders>
              <w:start w:val="single" w:sz="4" w:space="0" w:color="AAAAAA"/>
              <w:bottom w:val="single" w:sz="4" w:space="0" w:color="1F4E79"/>
              <w:end w:val="single" w:sz="4" w:space="0" w:color="AAAAAA"/>
            </w:tcBorders>
            <w:shd w:fill="DEE6E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sz w:val="24"/>
                <w:szCs w:val="24"/>
              </w:rPr>
              <w:t xml:space="preserve">Dichiarazione di immunizzazione climatica                      </w:t>
            </w:r>
          </w:p>
        </w:tc>
      </w:tr>
      <w:tr>
        <w:trPr>
          <w:trHeight w:val="520" w:hRule="atLeast"/>
        </w:trPr>
        <w:tc>
          <w:tcPr>
            <w:tcW w:w="9200" w:type="dxa"/>
            <w:tcBorders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404040"/>
                <w:sz w:val="24"/>
                <w:szCs w:val="24"/>
              </w:rPr>
            </w:r>
          </w:p>
        </w:tc>
      </w:tr>
    </w:tbl>
    <w:p>
      <w:pPr>
        <w:pStyle w:val="Normal"/>
        <w:pBdr>
          <w:bottom w:val="single" w:sz="8" w:space="2" w:color="1F4E79"/>
        </w:pBdr>
        <w:bidi w:val="0"/>
        <w:spacing w:lineRule="auto" w:line="240" w:before="400" w:after="160"/>
        <w:jc w:val="start"/>
        <w:rPr>
          <w:rFonts w:ascii="Arial" w:hAnsi="Arial" w:eastAsia="Arial" w:cs="Arial"/>
          <w:b/>
          <w:bCs/>
          <w:color w:val="1F4E79"/>
          <w:sz w:val="24"/>
          <w:szCs w:val="24"/>
        </w:rPr>
      </w:pPr>
      <w:r>
        <w:rPr>
          <w:rFonts w:eastAsia="Arial" w:cs="Arial" w:ascii="Arial" w:hAnsi="Arial"/>
          <w:b/>
          <w:bCs/>
          <w:color w:val="1F4E79"/>
          <w:sz w:val="24"/>
          <w:szCs w:val="24"/>
        </w:rPr>
      </w:r>
    </w:p>
    <w:p>
      <w:pPr>
        <w:pStyle w:val="Heading1"/>
        <w:pBdr>
          <w:bottom w:val="single" w:sz="8" w:space="2" w:color="1F4E79"/>
        </w:pBdr>
        <w:spacing w:lineRule="auto" w:line="240" w:before="400" w:after="160"/>
        <w:rPr>
          <w:rFonts w:ascii="Arial" w:hAnsi="Arial" w:eastAsia="Arial" w:cs="Arial"/>
          <w:b/>
          <w:bCs/>
          <w:color w:val="1F4E79"/>
          <w:sz w:val="24"/>
          <w:szCs w:val="24"/>
        </w:rPr>
      </w:pPr>
      <w:r>
        <w:rPr>
          <w:rFonts w:eastAsia="Arial" w:cs="Arial"/>
          <w:b/>
          <w:bCs/>
          <w:color w:val="1F4E79"/>
          <w:sz w:val="24"/>
          <w:szCs w:val="24"/>
        </w:rPr>
      </w:r>
    </w:p>
    <w:p>
      <w:pPr>
        <w:pStyle w:val="Heading1"/>
        <w:pBdr>
          <w:bottom w:val="single" w:sz="8" w:space="2" w:color="1F4E79"/>
        </w:pBdr>
        <w:spacing w:lineRule="auto" w:line="240" w:before="400" w:after="160"/>
        <w:rPr>
          <w:rFonts w:ascii="Arial" w:hAnsi="Arial" w:eastAsia="Arial" w:cs="Arial"/>
          <w:b/>
          <w:bCs/>
          <w:color w:val="1F4E79"/>
          <w:sz w:val="24"/>
          <w:szCs w:val="24"/>
        </w:rPr>
      </w:pPr>
      <w:r>
        <w:rPr>
          <w:rFonts w:eastAsia="Arial" w:cs="Arial"/>
          <w:b/>
          <w:bCs/>
          <w:color w:val="1F4E79"/>
          <w:sz w:val="24"/>
          <w:szCs w:val="24"/>
        </w:rPr>
      </w:r>
    </w:p>
    <w:p>
      <w:pPr>
        <w:pStyle w:val="Heading1"/>
        <w:pBdr>
          <w:bottom w:val="single" w:sz="8" w:space="2" w:color="1F4E79"/>
        </w:pBdr>
        <w:spacing w:lineRule="auto" w:line="240" w:before="400" w:after="160"/>
        <w:rPr>
          <w:rFonts w:ascii="Arial" w:hAnsi="Arial" w:eastAsia="Arial" w:cs="Arial"/>
          <w:b/>
          <w:bCs/>
          <w:color w:val="1F4E79"/>
          <w:sz w:val="24"/>
          <w:szCs w:val="24"/>
        </w:rPr>
      </w:pPr>
      <w:r>
        <w:rPr>
          <w:rFonts w:eastAsia="Arial" w:cs="Arial"/>
          <w:b/>
          <w:bCs/>
          <w:color w:val="1F4E79"/>
          <w:sz w:val="24"/>
          <w:szCs w:val="24"/>
        </w:rPr>
      </w:r>
    </w:p>
    <w:p>
      <w:pPr>
        <w:pStyle w:val="Heading1"/>
        <w:pBdr>
          <w:bottom w:val="single" w:sz="8" w:space="2" w:color="1F4E79"/>
        </w:pBdr>
        <w:spacing w:lineRule="auto" w:line="240" w:before="400" w:after="160"/>
        <w:rPr>
          <w:rFonts w:ascii="Arial" w:hAnsi="Arial" w:eastAsia="Arial" w:cs="Arial"/>
          <w:b/>
          <w:bCs/>
          <w:color w:val="1F4E79"/>
          <w:sz w:val="24"/>
          <w:szCs w:val="24"/>
        </w:rPr>
      </w:pPr>
      <w:r>
        <w:rPr>
          <w:rFonts w:eastAsia="Arial" w:cs="Arial"/>
          <w:b/>
          <w:bCs/>
          <w:color w:val="1F4E79"/>
          <w:sz w:val="24"/>
          <w:szCs w:val="24"/>
        </w:rPr>
      </w:r>
    </w:p>
    <w:p>
      <w:pPr>
        <w:pStyle w:val="Heading1"/>
        <w:pBdr>
          <w:bottom w:val="single" w:sz="8" w:space="2" w:color="1F4E79"/>
        </w:pBdr>
        <w:spacing w:lineRule="auto" w:line="240" w:before="400" w:after="160"/>
        <w:rPr>
          <w:rFonts w:ascii="Arial" w:hAnsi="Arial" w:eastAsia="Arial" w:cs="Arial"/>
          <w:b/>
          <w:bCs/>
          <w:color w:val="1F4E79"/>
          <w:sz w:val="24"/>
          <w:szCs w:val="24"/>
        </w:rPr>
      </w:pPr>
      <w:r>
        <w:rPr>
          <w:rFonts w:eastAsia="Arial" w:cs="Arial"/>
          <w:b/>
          <w:bCs/>
          <w:color w:val="1F4E79"/>
          <w:sz w:val="24"/>
          <w:szCs w:val="24"/>
        </w:rPr>
      </w:r>
    </w:p>
    <w:p>
      <w:pPr>
        <w:pStyle w:val="Heading1"/>
        <w:pBdr>
          <w:bottom w:val="single" w:sz="8" w:space="2" w:color="1F4E79"/>
        </w:pBdr>
        <w:spacing w:lineRule="auto" w:line="240" w:before="400" w:after="160"/>
        <w:rPr>
          <w:rFonts w:ascii="Arial" w:hAnsi="Arial" w:eastAsia="Arial" w:cs="Arial"/>
          <w:b/>
          <w:bCs/>
          <w:color w:val="1F4E79"/>
          <w:sz w:val="24"/>
          <w:szCs w:val="24"/>
        </w:rPr>
      </w:pPr>
      <w:r>
        <w:rPr>
          <w:rFonts w:eastAsia="Arial" w:cs="Arial"/>
          <w:b/>
          <w:bCs/>
          <w:color w:val="1F4E79"/>
          <w:sz w:val="24"/>
          <w:szCs w:val="24"/>
        </w:rPr>
      </w:r>
    </w:p>
    <w:p>
      <w:pPr>
        <w:pStyle w:val="Heading1"/>
        <w:pBdr>
          <w:bottom w:val="single" w:sz="8" w:space="2" w:color="1F4E79"/>
        </w:pBdr>
        <w:spacing w:lineRule="auto" w:line="240" w:before="400" w:after="160"/>
        <w:rPr>
          <w:rFonts w:ascii="Arial" w:hAnsi="Arial" w:eastAsia="Arial" w:cs="Arial"/>
          <w:b/>
          <w:bCs/>
          <w:color w:val="1F4E79"/>
          <w:sz w:val="24"/>
          <w:szCs w:val="24"/>
        </w:rPr>
      </w:pPr>
      <w:r>
        <w:rPr>
          <w:rFonts w:eastAsia="Arial" w:cs="Arial"/>
          <w:b/>
          <w:bCs/>
          <w:color w:val="1F4E79"/>
          <w:sz w:val="24"/>
          <w:szCs w:val="24"/>
        </w:rPr>
      </w:r>
    </w:p>
    <w:p>
      <w:pPr>
        <w:pStyle w:val="Heading1"/>
        <w:pBdr>
          <w:bottom w:val="single" w:sz="8" w:space="2" w:color="1F4E79"/>
        </w:pBdr>
        <w:spacing w:lineRule="auto" w:line="240" w:before="400" w:after="160"/>
        <w:rPr>
          <w:rFonts w:ascii="Arial" w:hAnsi="Arial" w:eastAsia="Arial" w:cs="Arial"/>
          <w:b/>
          <w:bCs/>
          <w:color w:val="1F4E79"/>
          <w:sz w:val="24"/>
          <w:szCs w:val="24"/>
        </w:rPr>
      </w:pPr>
      <w:r>
        <w:rPr>
          <w:rFonts w:eastAsia="Arial" w:cs="Arial"/>
          <w:b/>
          <w:bCs/>
          <w:color w:val="1F4E79"/>
          <w:sz w:val="24"/>
          <w:szCs w:val="24"/>
        </w:rPr>
      </w:r>
    </w:p>
    <w:p>
      <w:pPr>
        <w:pStyle w:val="Heading1"/>
        <w:pBdr>
          <w:bottom w:val="single" w:sz="8" w:space="2" w:color="1F4E79"/>
        </w:pBdr>
        <w:spacing w:lineRule="auto" w:line="240" w:before="400" w:after="160"/>
        <w:rPr>
          <w:rFonts w:ascii="Arial" w:hAnsi="Arial" w:eastAsia="Arial" w:cs="Arial"/>
          <w:b/>
          <w:bCs/>
          <w:color w:val="1F4E79"/>
          <w:sz w:val="24"/>
          <w:szCs w:val="24"/>
        </w:rPr>
      </w:pPr>
      <w:r>
        <w:rPr>
          <w:rFonts w:eastAsia="Arial" w:cs="Arial"/>
          <w:b/>
          <w:bCs/>
          <w:color w:val="1F4E79"/>
          <w:sz w:val="24"/>
          <w:szCs w:val="24"/>
        </w:rPr>
      </w:r>
    </w:p>
    <w:p>
      <w:pPr>
        <w:pStyle w:val="Heading1"/>
        <w:pBdr>
          <w:bottom w:val="single" w:sz="8" w:space="2" w:color="1F4E79"/>
        </w:pBdr>
        <w:spacing w:lineRule="auto" w:line="240" w:before="400" w:after="160"/>
        <w:rPr>
          <w:rFonts w:ascii="Arial" w:hAnsi="Arial" w:eastAsia="Arial" w:cs="Arial"/>
          <w:b/>
          <w:bCs/>
          <w:color w:val="1F4E79"/>
          <w:sz w:val="24"/>
          <w:szCs w:val="24"/>
        </w:rPr>
      </w:pPr>
      <w:r>
        <w:rPr>
          <w:rFonts w:eastAsia="Arial" w:cs="Arial"/>
          <w:b/>
          <w:bCs/>
          <w:color w:val="1F4E79"/>
          <w:sz w:val="24"/>
          <w:szCs w:val="24"/>
        </w:rPr>
      </w:r>
    </w:p>
    <w:p>
      <w:pPr>
        <w:pStyle w:val="Heading1"/>
        <w:pBdr>
          <w:bottom w:val="single" w:sz="8" w:space="2" w:color="1F4E79"/>
        </w:pBdr>
        <w:spacing w:lineRule="auto" w:line="240" w:before="400" w:after="160"/>
        <w:rPr>
          <w:rFonts w:ascii="Arial" w:hAnsi="Arial" w:eastAsia="Arial" w:cs="Arial"/>
          <w:b/>
          <w:bCs/>
          <w:color w:val="1F4E79"/>
          <w:sz w:val="24"/>
          <w:szCs w:val="24"/>
        </w:rPr>
      </w:pPr>
      <w:r>
        <w:rPr>
          <w:rFonts w:eastAsia="Arial" w:cs="Arial"/>
          <w:b/>
          <w:bCs/>
          <w:color w:val="1F4E79"/>
          <w:sz w:val="24"/>
          <w:szCs w:val="24"/>
        </w:rPr>
        <w:t>9</w:t>
      </w:r>
      <w:r>
        <w:rPr>
          <w:rFonts w:eastAsia="Arial" w:cs="Arial"/>
          <w:b/>
          <w:bCs/>
          <w:color w:val="1F4E79"/>
          <w:sz w:val="24"/>
          <w:szCs w:val="24"/>
        </w:rPr>
        <w:t>. Dichiarazioni del Responsabile del Procedimento</w:t>
      </w:r>
    </w:p>
    <w:p>
      <w:pPr>
        <w:pStyle w:val="Normal"/>
        <w:bidi w:val="0"/>
        <w:spacing w:lineRule="auto" w:line="360" w:before="60" w:after="8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uto" w:line="360" w:before="60" w:after="80"/>
        <w:jc w:val="both"/>
        <w:rPr>
          <w:rFonts w:ascii="Arial" w:hAnsi="Arial" w:eastAsia="Arial" w:cs="Arial"/>
          <w:color w:val="404040"/>
          <w:sz w:val="24"/>
          <w:szCs w:val="24"/>
        </w:rPr>
      </w:pPr>
      <w:r>
        <w:rPr>
          <w:rFonts w:eastAsia="Arial" w:cs="Arial" w:ascii="Arial" w:hAnsi="Arial"/>
          <w:color w:val="404040"/>
          <w:sz w:val="24"/>
          <w:szCs w:val="24"/>
        </w:rPr>
        <w:t xml:space="preserve">Il/La sottoscritto/a ___________________________________, nella qualità di Responsabile del Procedimento (RUP) per la realizzazione del progetto in oggetto, ai sensi del D.Lgs. 36/2023 e della L. 241/1990, </w:t>
      </w:r>
    </w:p>
    <w:p>
      <w:pPr>
        <w:pStyle w:val="Normal"/>
        <w:bidi w:val="0"/>
        <w:spacing w:lineRule="auto" w:line="360" w:before="60" w:after="80"/>
        <w:jc w:val="both"/>
        <w:rPr>
          <w:rFonts w:ascii="Arial" w:hAnsi="Arial" w:eastAsia="Arial" w:cs="Arial"/>
          <w:b/>
          <w:bCs/>
          <w:color w:val="404040"/>
          <w:sz w:val="24"/>
          <w:szCs w:val="24"/>
        </w:rPr>
      </w:pPr>
      <w:r>
        <w:rPr>
          <w:rFonts w:eastAsia="Arial" w:cs="Arial" w:ascii="Arial" w:hAnsi="Arial"/>
          <w:b/>
          <w:bCs/>
          <w:color w:val="404040"/>
          <w:sz w:val="24"/>
          <w:szCs w:val="24"/>
        </w:rPr>
        <w:t>DICHIARA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2"/>
        </w:numPr>
        <w:pBdr/>
        <w:bidi w:val="0"/>
        <w:spacing w:lineRule="auto" w:line="360" w:before="30" w:after="30"/>
        <w:ind w:hanging="280" w:start="560" w:end="0"/>
        <w:jc w:val="both"/>
        <w:rPr>
          <w:rFonts w:ascii="Arial" w:hAnsi="Arial" w:eastAsia="Arial" w:cs="Arial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40404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404040"/>
          <w:position w:val="0"/>
          <w:sz w:val="24"/>
          <w:sz w:val="24"/>
          <w:szCs w:val="24"/>
          <w:u w:val="none"/>
          <w:vertAlign w:val="baseline"/>
        </w:rPr>
        <w:t>che le informazioni e i dati riportati nella presente Relazione tecnico-economica di sintesi sono veritieri e corrispondono alla documentazione progettuale allegata alla domanda di agevolazione;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2"/>
        </w:numPr>
        <w:pBdr/>
        <w:bidi w:val="0"/>
        <w:spacing w:lineRule="auto" w:line="360" w:before="30" w:after="30"/>
        <w:ind w:hanging="280" w:start="560" w:end="0"/>
        <w:jc w:val="both"/>
        <w:rPr>
          <w:rFonts w:ascii="Arial" w:hAnsi="Arial" w:eastAsia="Arial" w:cs="Arial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40404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404040"/>
          <w:position w:val="0"/>
          <w:sz w:val="24"/>
          <w:sz w:val="24"/>
          <w:szCs w:val="24"/>
          <w:u w:val="none"/>
          <w:vertAlign w:val="baseline"/>
        </w:rPr>
        <w:t>che il progetto rispetta tutte le condizioni di ammissibilità previste dal par. 2.3 del Bando Città Rigenerative;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2"/>
        </w:numPr>
        <w:pBdr/>
        <w:bidi w:val="0"/>
        <w:spacing w:lineRule="auto" w:line="360" w:before="30" w:after="30"/>
        <w:ind w:hanging="280" w:start="560" w:end="0"/>
        <w:jc w:val="both"/>
        <w:rPr>
          <w:rFonts w:ascii="Arial" w:hAnsi="Arial" w:eastAsia="Arial" w:cs="Arial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40404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404040"/>
          <w:position w:val="0"/>
          <w:sz w:val="24"/>
          <w:sz w:val="24"/>
          <w:szCs w:val="24"/>
          <w:u w:val="none"/>
          <w:vertAlign w:val="baseline"/>
        </w:rPr>
        <w:t>che gli interventi descritti sono localizzati nel territorio di competenza del soggetto richiedente su aree di proprietà pubblica o rese disponibili per un periodo non inferiore a 20 anni;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2"/>
        </w:numPr>
        <w:pBdr/>
        <w:bidi w:val="0"/>
        <w:spacing w:lineRule="auto" w:line="360" w:before="30" w:after="30"/>
        <w:ind w:hanging="280" w:start="560" w:end="0"/>
        <w:jc w:val="both"/>
        <w:rPr>
          <w:rFonts w:ascii="Arial" w:hAnsi="Arial" w:eastAsia="Arial" w:cs="Arial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40404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404040"/>
          <w:position w:val="0"/>
          <w:sz w:val="24"/>
          <w:sz w:val="24"/>
          <w:szCs w:val="24"/>
          <w:u w:val="none"/>
          <w:vertAlign w:val="baseline"/>
        </w:rPr>
        <w:t>che la stima delle emissioni evitate di cui alla Tabella 2.2a è stata redatta con la metodologia indicata e che il proponente è consapevole che essa sarà oggetto di verifica in sede di rendicontazione finale;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2"/>
        </w:numPr>
        <w:pBdr/>
        <w:bidi w:val="0"/>
        <w:spacing w:lineRule="auto" w:line="360" w:before="30" w:after="30"/>
        <w:ind w:hanging="280" w:start="560" w:end="0"/>
        <w:jc w:val="both"/>
        <w:rPr>
          <w:rFonts w:ascii="Arial" w:hAnsi="Arial" w:eastAsia="Arial" w:cs="Arial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40404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404040"/>
          <w:position w:val="0"/>
          <w:sz w:val="24"/>
          <w:sz w:val="24"/>
          <w:szCs w:val="24"/>
          <w:u w:val="none"/>
          <w:vertAlign w:val="baseline"/>
        </w:rPr>
        <w:t>che il Comune è in regola con gli adempimenti di cui all'art. 13 delle Norme di attuazione del PRQA approvato con DCR n. 18-28783 del 10 dicembre 2024;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2"/>
        </w:numPr>
        <w:pBdr/>
        <w:bidi w:val="0"/>
        <w:spacing w:lineRule="auto" w:line="360" w:before="30" w:after="30"/>
        <w:ind w:hanging="280" w:start="560" w:end="0"/>
        <w:jc w:val="both"/>
        <w:rPr>
          <w:rFonts w:ascii="Arial" w:hAnsi="Arial" w:eastAsia="Arial" w:cs="Arial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40404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404040"/>
          <w:position w:val="0"/>
          <w:sz w:val="24"/>
          <w:sz w:val="24"/>
          <w:szCs w:val="24"/>
          <w:u w:val="none"/>
          <w:vertAlign w:val="baseline"/>
        </w:rPr>
        <w:t>di aver preso visione di tutti gli allegati obbligatori richiesti dal Bando e di allegarli alla presente domanda.</w:t>
      </w:r>
    </w:p>
    <w:p>
      <w:pPr>
        <w:pStyle w:val="Normal"/>
        <w:bidi w:val="0"/>
        <w:spacing w:lineRule="auto" w:line="240" w:before="60" w:after="8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uto" w:line="240" w:before="60" w:after="8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bidi w:val="0"/>
        <w:spacing w:lineRule="auto" w:line="276"/>
        <w:jc w:val="start"/>
        <w:rPr>
          <w:sz w:val="24"/>
          <w:szCs w:val="24"/>
        </w:rPr>
      </w:pPr>
      <w:r>
        <w:rPr>
          <w:sz w:val="24"/>
          <w:szCs w:val="24"/>
        </w:rPr>
      </w:r>
      <w:r>
        <mc:AlternateContent>
          <mc:Choice Requires="wps">
            <w:drawing>
              <wp:anchor behindDoc="0" distT="114300" distB="114300" distL="114300" distR="114300" simplePos="0" locked="0" layoutInCell="0" allowOverlap="1" relativeHeight="5">
                <wp:simplePos x="0" y="0"/>
                <wp:positionH relativeFrom="column">
                  <wp:posOffset>-62230</wp:posOffset>
                </wp:positionH>
                <wp:positionV relativeFrom="paragraph">
                  <wp:posOffset>6350</wp:posOffset>
                </wp:positionV>
                <wp:extent cx="2921000" cy="1849120"/>
                <wp:effectExtent l="0" t="0" r="0" b="0"/>
                <wp:wrapSquare wrapText="bothSides"/>
                <wp:docPr id="6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1000" cy="184912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4600" w:type="dxa"/>
                              <w:jc w:val="start"/>
                              <w:tblInd w:w="0" w:type="dxa"/>
                              <w:tblLayout w:type="fixed"/>
                              <w:tblCellMar>
                                <w:top w:w="0" w:type="dxa"/>
                                <w:start w:w="108" w:type="dxa"/>
                                <w:bottom w:w="0" w:type="dxa"/>
                                <w:end w:w="108" w:type="dxa"/>
                              </w:tblCellMar>
                            </w:tblPr>
                            <w:tblGrid>
                              <w:gridCol w:w="4600"/>
                            </w:tblGrid>
                            <w:tr>
                              <w:trPr/>
                              <w:tc>
                                <w:tcPr>
                                  <w:tcW w:w="4600" w:type="dxa"/>
                                  <w:tcBorders/>
                                </w:tcPr>
                                <w:p>
                                  <w:pPr>
                                    <w:pStyle w:val="Normal"/>
                                    <w:bidi w:val="0"/>
                                    <w:spacing w:lineRule="auto" w:line="240" w:before="60" w:after="80"/>
                                    <w:jc w:val="start"/>
                                    <w:rPr/>
                                  </w:pPr>
                                  <w:r>
                                    <w:rPr/>
                                    <w:t xml:space="preserve">Luogo e data: </w:t>
                                  </w:r>
                                </w:p>
                                <w:p>
                                  <w:pPr>
                                    <w:pStyle w:val="Normal"/>
                                    <w:bidi w:val="0"/>
                                    <w:spacing w:lineRule="auto" w:line="240" w:before="60" w:after="80"/>
                                    <w:jc w:val="start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  <w:p>
                                  <w:pPr>
                                    <w:pStyle w:val="Normal"/>
                                    <w:bidi w:val="0"/>
                                    <w:spacing w:lineRule="auto" w:line="240" w:before="60" w:after="80"/>
                                    <w:jc w:val="start"/>
                                    <w:rPr/>
                                  </w:pPr>
                                  <w:r>
                                    <w:rPr/>
                                    <w:t>____________________________</w:t>
                                  </w:r>
                                </w:p>
                                <w:p>
                                  <w:pPr>
                                    <w:pStyle w:val="Normal"/>
                                    <w:bidi w:val="0"/>
                                    <w:spacing w:lineRule="auto" w:line="240" w:before="60" w:after="80"/>
                                    <w:jc w:val="start"/>
                                    <w:rPr/>
                                  </w:pPr>
                                  <w:r>
                                    <w:rPr/>
                                    <w:t xml:space="preserve">  </w:t>
                                  </w:r>
                                </w:p>
                                <w:p>
                                  <w:pPr>
                                    <w:pStyle w:val="Normal"/>
                                    <w:bidi w:val="0"/>
                                    <w:spacing w:lineRule="auto" w:line="240" w:before="60" w:after="80"/>
                                    <w:jc w:val="start"/>
                                    <w:rPr/>
                                  </w:pPr>
                                  <w:r>
                                    <w:rPr/>
                                    <w:t>Firma digitale del RUP:</w:t>
                                  </w:r>
                                </w:p>
                                <w:p>
                                  <w:pPr>
                                    <w:pStyle w:val="Normal"/>
                                    <w:bidi w:val="0"/>
                                    <w:spacing w:lineRule="auto" w:line="240" w:before="60" w:after="80"/>
                                    <w:jc w:val="start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  <w:p>
                                  <w:pPr>
                                    <w:pStyle w:val="Normal"/>
                                    <w:bidi w:val="0"/>
                                    <w:spacing w:lineRule="auto" w:line="240" w:before="60" w:after="80"/>
                                    <w:jc w:val="start"/>
                                    <w:rPr/>
                                  </w:pPr>
                                  <w:r>
                                    <w:rPr/>
                                    <w:t xml:space="preserve"> </w:t>
                                  </w:r>
                                  <w:r>
                                    <w:rPr/>
                                    <w:t>____________________________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230pt;height:145.6pt;mso-wrap-distance-left:9pt;mso-wrap-distance-right:9pt;mso-wrap-distance-top:9pt;mso-wrap-distance-bottom:9pt;margin-top:0.5pt;mso-position-vertical-relative:text;margin-left:-4.9pt;mso-position-horizontal-relative:text">
                <v:textbox inset="0in,0in,0in,0in">
                  <w:txbxContent>
                    <w:tbl>
                      <w:tblPr>
                        <w:tblW w:w="4600" w:type="dxa"/>
                        <w:jc w:val="start"/>
                        <w:tblInd w:w="0" w:type="dxa"/>
                        <w:tblLayout w:type="fixed"/>
                        <w:tblCellMar>
                          <w:top w:w="0" w:type="dxa"/>
                          <w:start w:w="108" w:type="dxa"/>
                          <w:bottom w:w="0" w:type="dxa"/>
                          <w:end w:w="108" w:type="dxa"/>
                        </w:tblCellMar>
                      </w:tblPr>
                      <w:tblGrid>
                        <w:gridCol w:w="4600"/>
                      </w:tblGrid>
                      <w:tr>
                        <w:trPr/>
                        <w:tc>
                          <w:tcPr>
                            <w:tcW w:w="4600" w:type="dxa"/>
                            <w:tcBorders/>
                          </w:tcPr>
                          <w:p>
                            <w:pPr>
                              <w:pStyle w:val="Normal"/>
                              <w:bidi w:val="0"/>
                              <w:spacing w:lineRule="auto" w:line="240" w:before="60" w:after="80"/>
                              <w:jc w:val="start"/>
                              <w:rPr/>
                            </w:pPr>
                            <w:r>
                              <w:rPr/>
                              <w:t xml:space="preserve">Luogo e data: </w:t>
                            </w:r>
                          </w:p>
                          <w:p>
                            <w:pPr>
                              <w:pStyle w:val="Normal"/>
                              <w:bidi w:val="0"/>
                              <w:spacing w:lineRule="auto" w:line="240" w:before="60" w:after="80"/>
                              <w:jc w:val="start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Normal"/>
                              <w:bidi w:val="0"/>
                              <w:spacing w:lineRule="auto" w:line="240" w:before="60" w:after="80"/>
                              <w:jc w:val="start"/>
                              <w:rPr/>
                            </w:pPr>
                            <w:r>
                              <w:rPr/>
                              <w:t>____________________________</w:t>
                            </w:r>
                          </w:p>
                          <w:p>
                            <w:pPr>
                              <w:pStyle w:val="Normal"/>
                              <w:bidi w:val="0"/>
                              <w:spacing w:lineRule="auto" w:line="240" w:before="60" w:after="80"/>
                              <w:jc w:val="start"/>
                              <w:rPr/>
                            </w:pPr>
                            <w:r>
                              <w:rPr/>
                              <w:t xml:space="preserve">  </w:t>
                            </w:r>
                          </w:p>
                          <w:p>
                            <w:pPr>
                              <w:pStyle w:val="Normal"/>
                              <w:bidi w:val="0"/>
                              <w:spacing w:lineRule="auto" w:line="240" w:before="60" w:after="80"/>
                              <w:jc w:val="start"/>
                              <w:rPr/>
                            </w:pPr>
                            <w:r>
                              <w:rPr/>
                              <w:t>Firma digitale del RUP:</w:t>
                            </w:r>
                          </w:p>
                          <w:p>
                            <w:pPr>
                              <w:pStyle w:val="Normal"/>
                              <w:bidi w:val="0"/>
                              <w:spacing w:lineRule="auto" w:line="240" w:before="60" w:after="80"/>
                              <w:jc w:val="start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Normal"/>
                              <w:bidi w:val="0"/>
                              <w:spacing w:lineRule="auto" w:line="240" w:before="60" w:after="80"/>
                              <w:jc w:val="start"/>
                              <w:rPr/>
                            </w:pPr>
                            <w:r>
                              <w:rPr/>
                              <w:t xml:space="preserve"> </w:t>
                            </w:r>
                            <w:r>
                              <w:rPr/>
                              <w:t>____________________________</w:t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</w:p>
    <w:sectPr>
      <w:type w:val="nextPage"/>
      <w:pgSz w:w="11906" w:h="16838"/>
      <w:pgMar w:left="1134" w:right="1134" w:gutter="0" w:header="0" w:top="1134" w:footer="0" w:bottom="1134"/>
      <w:pgNumType w:start="1"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rial">
    <w:charset w:val="00" w:characterSet="windows-1252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0"/>
        </w:tabs>
        <w:ind w:start="560" w:hanging="28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start"/>
      <w:pPr>
        <w:tabs>
          <w:tab w:val="num" w:pos="0"/>
        </w:tabs>
        <w:ind w:start="900" w:hanging="280"/>
      </w:pPr>
      <w:rPr>
        <w:rFonts w:ascii="Symbol" w:hAnsi="Symbol" w:cs="Symbol" w:hint="default"/>
      </w:rPr>
    </w:lvl>
    <w:lvl w:ilvl="2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2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it-I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 Unicode MS"/>
      <w:color w:val="auto"/>
      <w:kern w:val="2"/>
      <w:sz w:val="24"/>
      <w:szCs w:val="24"/>
      <w:lang w:val="it-IT" w:eastAsia="zh-CN" w:bidi="hi-IN"/>
    </w:rPr>
  </w:style>
  <w:style w:type="paragraph" w:styleId="Heading1">
    <w:name w:val="heading 1"/>
    <w:basedOn w:val="normal1"/>
    <w:next w:val="Normal"/>
    <w:qFormat/>
    <w:pPr>
      <w:keepNext w:val="false"/>
      <w:keepLines w:val="false"/>
      <w:pageBreakBefore w:val="false"/>
      <w:widowControl/>
      <w:pBdr/>
      <w:spacing w:lineRule="auto" w:line="240" w:before="400" w:after="160"/>
      <w:ind w:hanging="0" w:start="0" w:end="0"/>
      <w:jc w:val="start"/>
    </w:pPr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color w:val="1F4E79"/>
      <w:position w:val="0"/>
      <w:sz w:val="32"/>
      <w:sz w:val="32"/>
      <w:szCs w:val="32"/>
      <w:u w:val="none"/>
      <w:vertAlign w:val="baseline"/>
    </w:rPr>
  </w:style>
  <w:style w:type="paragraph" w:styleId="Heading2">
    <w:name w:val="heading 2"/>
    <w:basedOn w:val="normal1"/>
    <w:next w:val="Normal"/>
    <w:qFormat/>
    <w:pPr>
      <w:keepNext w:val="false"/>
      <w:keepLines w:val="false"/>
      <w:pageBreakBefore w:val="false"/>
      <w:widowControl/>
      <w:pBdr/>
      <w:spacing w:lineRule="auto" w:line="240" w:before="280" w:after="120"/>
      <w:ind w:hanging="0" w:start="0" w:end="0"/>
      <w:jc w:val="start"/>
    </w:pPr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color w:val="2E75B6"/>
      <w:position w:val="0"/>
      <w:sz w:val="26"/>
      <w:sz w:val="26"/>
      <w:szCs w:val="26"/>
      <w:u w:val="none"/>
      <w:vertAlign w:val="baseline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 Unicode MS"/>
    </w:rPr>
  </w:style>
  <w:style w:type="paragraph" w:styleId="normal1">
    <w:name w:val="normal1"/>
    <w:qFormat/>
    <w:pPr>
      <w:widowControl/>
      <w:bidi w:val="0"/>
      <w:jc w:val="start"/>
    </w:pPr>
    <w:rPr>
      <w:rFonts w:ascii="Liberation Serif" w:hAnsi="Liberation Serif" w:eastAsia="NSimSun" w:cs="Arial Unicode MS"/>
      <w:color w:val="auto"/>
      <w:kern w:val="2"/>
      <w:sz w:val="24"/>
      <w:szCs w:val="24"/>
      <w:lang w:val="it-IT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hyperlink" Target="https://aci.gov.it/attivita-e-progetti/studi-e-ricerche/open-data/" TargetMode="External"/><Relationship Id="rId7" Type="http://schemas.openxmlformats.org/officeDocument/2006/relationships/hyperlink" Target="https://aci.gov.it/app/uploads/2026/06/Autoritratto-2025-OD.rar" TargetMode="External"/><Relationship Id="rId8" Type="http://schemas.openxmlformats.org/officeDocument/2006/relationships/hyperlink" Target="https://www.eea.europa.eu/en/analysis/publications/emep-eea-guidebook-202" TargetMode="External"/><Relationship Id="rId9" Type="http://schemas.openxmlformats.org/officeDocument/2006/relationships/hyperlink" Target="https://www.eea.europa.eu/en/analysis/publications/emep-eea-guidebook-2023/part-b-sectoral-guidance-chapters/1-energy/1-a-combustion/1-a-3-b-i-1/@@download/file" TargetMode="External"/><Relationship Id="rId10" Type="http://schemas.openxmlformats.org/officeDocument/2006/relationships/hyperlink" Target="http://www.sinanet.isprambiente.it/it/sia-ispra/fetransp" TargetMode="Externa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LibreOffice/25.8.3.2$Windows_X86_64 LibreOffice_project/8ca8d55c161d602844f5428fa4b58097424e324e</Application>
  <AppVersion>15.0000</AppVersion>
  <Pages>22</Pages>
  <Words>3412</Words>
  <Characters>21305</Characters>
  <CharactersWithSpaces>25250</CharactersWithSpaces>
  <Paragraphs>363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2026-07-31T12:20:45Z</dcterms:created>
  <dc:creator/>
  <dc:description/>
  <dc:language>it-IT</dc:language>
  <cp:lastModifiedBy/>
  <dcterms:modified xsi:type="dcterms:W3CDTF">2026-07-31T12:22:49Z</dcterms:modified>
  <cp:revision>1</cp:revision>
  <dc:subject/>
  <dc:title/>
</cp:coreProperties>
</file>